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04FC8" w14:textId="5B31A742" w:rsidR="00871DBD" w:rsidRPr="0037694C" w:rsidRDefault="00871DBD" w:rsidP="0037694C">
      <w:pPr>
        <w:jc w:val="center"/>
        <w:rPr>
          <w:rFonts w:ascii="Times New Roman" w:hAnsi="Times New Roman"/>
          <w:b/>
          <w:bCs/>
          <w:sz w:val="24"/>
          <w:szCs w:val="24"/>
          <w:lang w:eastAsia="lv-LV"/>
        </w:rPr>
      </w:pPr>
      <w:bookmarkStart w:id="0" w:name="_Hlk66434574"/>
      <w:bookmarkStart w:id="1" w:name="_Hlk63411768"/>
      <w:bookmarkStart w:id="2" w:name="_Hlk66435236"/>
      <w:r w:rsidRPr="00C322BC">
        <w:rPr>
          <w:rFonts w:ascii="Times New Roman" w:hAnsi="Times New Roman"/>
          <w:b/>
          <w:bCs/>
          <w:sz w:val="24"/>
          <w:szCs w:val="24"/>
          <w:lang w:eastAsia="lv-LV"/>
        </w:rPr>
        <w:t xml:space="preserve">Ministru kabineta noteikumu projekta "Grozījumi Ministru kabineta 2017. gada 22. augusta noteikumos Nr. 495 "Darbības programmas "Izaugsme un nodarbinātība" 4.3.1. specifiskā atbalsta mērķa "Veicināt energoefektivitāti un vietējo AER izmantošanu centralizētajā siltumapgādē" otrās projektu iesniegumu atlases kārtas īstenošanas noteikumi"" </w:t>
      </w:r>
      <w:bookmarkEnd w:id="0"/>
      <w:r w:rsidRPr="00C322BC">
        <w:rPr>
          <w:rFonts w:ascii="Times New Roman" w:hAnsi="Times New Roman"/>
          <w:b/>
          <w:bCs/>
          <w:sz w:val="24"/>
          <w:szCs w:val="24"/>
          <w:lang w:eastAsia="lv-LV"/>
        </w:rPr>
        <w:t>sākotnējās ietekmes novērtējuma ziņojums (anotācija)</w:t>
      </w:r>
      <w:bookmarkEnd w:id="1"/>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871DBD" w:rsidRPr="003B4400" w14:paraId="6F95A0FA" w14:textId="77777777" w:rsidTr="008B28E4">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bookmarkEnd w:id="2"/>
          <w:p w14:paraId="49918B31" w14:textId="77777777" w:rsidR="00871DBD" w:rsidRPr="0037694C" w:rsidRDefault="00871DBD" w:rsidP="0037694C">
            <w:pPr>
              <w:jc w:val="center"/>
              <w:rPr>
                <w:rFonts w:ascii="Times New Roman" w:hAnsi="Times New Roman"/>
                <w:b/>
                <w:bCs/>
                <w:iCs/>
                <w:sz w:val="24"/>
                <w:szCs w:val="24"/>
                <w:lang w:eastAsia="lv-LV"/>
              </w:rPr>
            </w:pPr>
            <w:r w:rsidRPr="0037694C">
              <w:rPr>
                <w:rFonts w:ascii="Times New Roman" w:hAnsi="Times New Roman"/>
                <w:b/>
                <w:bCs/>
                <w:iCs/>
                <w:sz w:val="24"/>
                <w:szCs w:val="24"/>
                <w:lang w:eastAsia="lv-LV"/>
              </w:rPr>
              <w:t>Tiesību akta projekta anotācijas kopsavilkums</w:t>
            </w:r>
          </w:p>
        </w:tc>
      </w:tr>
      <w:tr w:rsidR="00871DBD" w:rsidRPr="003B4400" w14:paraId="3F12165C" w14:textId="77777777" w:rsidTr="008B28E4">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5A4D9047" w14:textId="77777777" w:rsidR="00871DBD" w:rsidRPr="003B4400" w:rsidRDefault="00871DBD" w:rsidP="00566A2A">
            <w:pPr>
              <w:jc w:val="both"/>
              <w:rPr>
                <w:rFonts w:ascii="Times New Roman" w:hAnsi="Times New Roman"/>
                <w:iCs/>
                <w:sz w:val="24"/>
                <w:szCs w:val="24"/>
                <w:lang w:eastAsia="lv-LV"/>
              </w:rPr>
            </w:pPr>
            <w:r w:rsidRPr="003B4400">
              <w:rPr>
                <w:rFonts w:ascii="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21E368E1" w14:textId="56EECB9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 xml:space="preserve">Projekta mērķis ir veikt grozījumus </w:t>
            </w:r>
            <w:r w:rsidRPr="003B4400">
              <w:rPr>
                <w:rFonts w:ascii="Times New Roman" w:hAnsi="Times New Roman"/>
                <w:sz w:val="24"/>
                <w:szCs w:val="24"/>
                <w:lang w:eastAsia="lv-LV"/>
              </w:rPr>
              <w:t>Ministru kabineta 2017. gada 22. augusta noteikumos Nr. 495 "Darbības programmas "Izaugsme un nodarbinātība" 4.3.1. specifiskā atbalsta mērķa "Veicināt energoefektivitāti un vietējo AER izmantošanu centralizētajā siltumapgādē" otrās projektu iesniegumu atlases kārtas īstenošanas noteikumi"</w:t>
            </w:r>
            <w:r w:rsidRPr="003B4400">
              <w:rPr>
                <w:rFonts w:ascii="Times New Roman" w:hAnsi="Times New Roman"/>
                <w:sz w:val="24"/>
                <w:szCs w:val="24"/>
              </w:rPr>
              <w:t xml:space="preserve"> </w:t>
            </w:r>
            <w:r w:rsidR="001978EF" w:rsidRPr="003B4400">
              <w:rPr>
                <w:rFonts w:ascii="Times New Roman" w:hAnsi="Times New Roman"/>
                <w:sz w:val="24"/>
                <w:szCs w:val="24"/>
              </w:rPr>
              <w:t xml:space="preserve"> (turpmāk – noteikumi)</w:t>
            </w:r>
            <w:r w:rsidRPr="003B4400">
              <w:rPr>
                <w:rFonts w:ascii="Times New Roman" w:hAnsi="Times New Roman"/>
                <w:sz w:val="24"/>
                <w:szCs w:val="24"/>
              </w:rPr>
              <w:t xml:space="preserve">.                          </w:t>
            </w:r>
          </w:p>
          <w:p w14:paraId="2C3B44D3" w14:textId="2CCEAA6C" w:rsidR="00871DBD" w:rsidRPr="003B4400" w:rsidRDefault="00871DBD" w:rsidP="00566A2A">
            <w:pPr>
              <w:jc w:val="both"/>
              <w:rPr>
                <w:rFonts w:ascii="Times New Roman" w:hAnsi="Times New Roman"/>
                <w:iCs/>
                <w:sz w:val="24"/>
                <w:szCs w:val="24"/>
                <w:lang w:eastAsia="lv-LV"/>
              </w:rPr>
            </w:pPr>
            <w:bookmarkStart w:id="3" w:name="_Hlk63409828"/>
            <w:r w:rsidRPr="003B4400">
              <w:rPr>
                <w:rFonts w:ascii="Times New Roman" w:hAnsi="Times New Roman"/>
                <w:iCs/>
                <w:sz w:val="24"/>
                <w:szCs w:val="24"/>
                <w:lang w:eastAsia="lv-LV"/>
              </w:rPr>
              <w:t>Ministru kabineta noteikumu projekta "Grozījumi Ministru kabineta 2017. gada 22.</w:t>
            </w:r>
            <w:r w:rsidR="001978EF" w:rsidRPr="003B4400">
              <w:rPr>
                <w:rFonts w:ascii="Times New Roman" w:hAnsi="Times New Roman"/>
                <w:iCs/>
                <w:sz w:val="24"/>
                <w:szCs w:val="24"/>
                <w:lang w:eastAsia="lv-LV"/>
              </w:rPr>
              <w:t>augusta</w:t>
            </w:r>
            <w:r w:rsidRPr="003B4400">
              <w:rPr>
                <w:rFonts w:ascii="Times New Roman" w:hAnsi="Times New Roman"/>
                <w:iCs/>
                <w:sz w:val="24"/>
                <w:szCs w:val="24"/>
                <w:lang w:eastAsia="lv-LV"/>
              </w:rPr>
              <w:t xml:space="preserve"> noteikumos Nr. 495 "Darbības programmas "Izaugsme un nodarbinātība" 4.3.1. specifiskā atbalsta mērķa "Veicināt energoefektivitāti un vietējo AER izmantošanu centralizētajā siltumapgādē" otrās projektu iesniegumu atlases kārtas īstenošanas noteikumi"" </w:t>
            </w:r>
            <w:bookmarkEnd w:id="3"/>
            <w:r w:rsidRPr="003B4400">
              <w:rPr>
                <w:rFonts w:ascii="Times New Roman" w:hAnsi="Times New Roman"/>
                <w:iCs/>
                <w:sz w:val="24"/>
                <w:szCs w:val="24"/>
                <w:lang w:eastAsia="lv-LV"/>
              </w:rPr>
              <w:t>(turpmāk - projekts) mērķis ir precizēt projektu īstenošanas termiņu  un kārtību, kādā  tiek segti projekta īstenošanas laikā radušies neattiecināmie izdevumi un sadārdzinājušās projekta izmaksas.</w:t>
            </w:r>
          </w:p>
          <w:p w14:paraId="0BFB344D" w14:textId="78CC1842" w:rsidR="00871DBD" w:rsidRPr="003B4400" w:rsidRDefault="00871DBD" w:rsidP="00566A2A">
            <w:pPr>
              <w:jc w:val="both"/>
              <w:rPr>
                <w:rFonts w:ascii="Times New Roman" w:hAnsi="Times New Roman"/>
                <w:iCs/>
                <w:sz w:val="24"/>
                <w:szCs w:val="24"/>
                <w:lang w:eastAsia="lv-LV"/>
              </w:rPr>
            </w:pPr>
            <w:r w:rsidRPr="003B4400">
              <w:rPr>
                <w:rFonts w:ascii="Times New Roman" w:hAnsi="Times New Roman"/>
                <w:iCs/>
                <w:sz w:val="24"/>
                <w:szCs w:val="24"/>
                <w:lang w:eastAsia="lv-LV"/>
              </w:rPr>
              <w:t>Noteikumu projekts stāsies spēkā pēc tā publicēšanas Latvijas Vēstnesī.</w:t>
            </w:r>
          </w:p>
        </w:tc>
      </w:tr>
    </w:tbl>
    <w:p w14:paraId="33F09D97" w14:textId="77777777" w:rsidR="00871DBD" w:rsidRPr="003B4400" w:rsidRDefault="00871DBD" w:rsidP="00566A2A">
      <w:pPr>
        <w:jc w:val="both"/>
        <w:rPr>
          <w:rFonts w:ascii="Times New Roman" w:hAnsi="Times New Roman"/>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1"/>
        <w:gridCol w:w="6805"/>
      </w:tblGrid>
      <w:tr w:rsidR="00871DBD" w:rsidRPr="003B4400" w14:paraId="49545CD6" w14:textId="77777777" w:rsidTr="00AD6BC0">
        <w:tc>
          <w:tcPr>
            <w:tcW w:w="5000" w:type="pct"/>
            <w:gridSpan w:val="3"/>
            <w:hideMark/>
          </w:tcPr>
          <w:p w14:paraId="30DA7F5A" w14:textId="77777777" w:rsidR="00871DBD" w:rsidRPr="003B4400" w:rsidRDefault="00871DBD" w:rsidP="0037694C">
            <w:pPr>
              <w:jc w:val="center"/>
              <w:rPr>
                <w:rFonts w:ascii="Times New Roman" w:hAnsi="Times New Roman"/>
                <w:sz w:val="24"/>
                <w:szCs w:val="24"/>
                <w:lang w:val="lv-LV" w:eastAsia="lv-LV"/>
              </w:rPr>
            </w:pPr>
            <w:r w:rsidRPr="003B4400">
              <w:rPr>
                <w:rFonts w:ascii="Times New Roman" w:hAnsi="Times New Roman"/>
                <w:sz w:val="24"/>
                <w:szCs w:val="24"/>
                <w:lang w:val="lv-LV" w:eastAsia="lv-LV"/>
              </w:rPr>
              <w:t xml:space="preserve">I. </w:t>
            </w:r>
            <w:r w:rsidRPr="0037694C">
              <w:rPr>
                <w:rFonts w:ascii="Times New Roman" w:hAnsi="Times New Roman"/>
                <w:b/>
                <w:bCs/>
                <w:sz w:val="24"/>
                <w:szCs w:val="24"/>
                <w:lang w:val="lv-LV" w:eastAsia="lv-LV"/>
              </w:rPr>
              <w:t>Tiesību akta projekta izstrādes nepieciešamība</w:t>
            </w:r>
          </w:p>
        </w:tc>
      </w:tr>
      <w:tr w:rsidR="00871DBD" w:rsidRPr="003B4400" w14:paraId="5E2F7038" w14:textId="77777777" w:rsidTr="00AD6BC0">
        <w:trPr>
          <w:trHeight w:val="843"/>
        </w:trPr>
        <w:tc>
          <w:tcPr>
            <w:tcW w:w="191" w:type="pct"/>
            <w:hideMark/>
          </w:tcPr>
          <w:p w14:paraId="447A5FF9"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1.</w:t>
            </w:r>
          </w:p>
        </w:tc>
        <w:tc>
          <w:tcPr>
            <w:tcW w:w="1519" w:type="pct"/>
            <w:hideMark/>
          </w:tcPr>
          <w:p w14:paraId="25C0B251"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Pamatojums</w:t>
            </w:r>
          </w:p>
        </w:tc>
        <w:tc>
          <w:tcPr>
            <w:tcW w:w="3289" w:type="pct"/>
            <w:hideMark/>
          </w:tcPr>
          <w:p w14:paraId="6C85A59D" w14:textId="4CEAF516"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Projekts ir izstrādāts pamatojoties uz Eiropas Savienības struktūrfondu un Kohēzijas fonda 2014.-2020. gada plānošanas perioda vadības likuma 20. panta 13. punktu.</w:t>
            </w:r>
          </w:p>
        </w:tc>
      </w:tr>
      <w:tr w:rsidR="00C775BC" w:rsidRPr="003B4400" w14:paraId="50838507" w14:textId="77777777" w:rsidTr="00AD6BC0">
        <w:tc>
          <w:tcPr>
            <w:tcW w:w="191" w:type="pct"/>
            <w:hideMark/>
          </w:tcPr>
          <w:p w14:paraId="5CF0FBAB" w14:textId="77777777" w:rsidR="00C775BC" w:rsidRPr="003B4400" w:rsidRDefault="00C775BC"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2.</w:t>
            </w:r>
          </w:p>
        </w:tc>
        <w:tc>
          <w:tcPr>
            <w:tcW w:w="1519" w:type="pct"/>
            <w:hideMark/>
          </w:tcPr>
          <w:p w14:paraId="23F3BB78" w14:textId="77777777" w:rsidR="00C775BC" w:rsidRPr="003B4400" w:rsidRDefault="00C775BC" w:rsidP="00566A2A">
            <w:pPr>
              <w:jc w:val="both"/>
              <w:rPr>
                <w:rFonts w:ascii="Times New Roman" w:hAnsi="Times New Roman"/>
                <w:sz w:val="24"/>
                <w:szCs w:val="24"/>
                <w:lang w:val="lv-LV" w:eastAsia="lv-LV"/>
              </w:rPr>
            </w:pPr>
            <w:r w:rsidRPr="003B4400">
              <w:rPr>
                <w:rFonts w:ascii="Times New Roman" w:hAnsi="Times New Roman"/>
                <w:sz w:val="24"/>
                <w:szCs w:val="24"/>
                <w:lang w:val="lv-LV"/>
              </w:rPr>
              <w:t>Pašreizējā situācija un problēmas, kuru risināšanai tiesību akta projekts izstrādāts, tiesiskā regulējuma mērķis un būtība</w:t>
            </w:r>
          </w:p>
        </w:tc>
        <w:tc>
          <w:tcPr>
            <w:tcW w:w="3289" w:type="pct"/>
            <w:hideMark/>
          </w:tcPr>
          <w:p w14:paraId="6F727C00" w14:textId="77777777" w:rsidR="00815CBB" w:rsidRDefault="00C775BC" w:rsidP="00566A2A">
            <w:pPr>
              <w:jc w:val="both"/>
              <w:rPr>
                <w:rFonts w:ascii="Times New Roman" w:hAnsi="Times New Roman"/>
                <w:sz w:val="24"/>
                <w:szCs w:val="24"/>
                <w:shd w:val="clear" w:color="auto" w:fill="FFFFFF"/>
                <w:lang w:val="lv-LV"/>
              </w:rPr>
            </w:pPr>
            <w:r w:rsidRPr="003B4400">
              <w:rPr>
                <w:rFonts w:ascii="Times New Roman" w:hAnsi="Times New Roman"/>
                <w:sz w:val="24"/>
                <w:szCs w:val="24"/>
                <w:lang w:val="lv-LV"/>
              </w:rPr>
              <w:t xml:space="preserve">         </w:t>
            </w:r>
            <w:r w:rsidR="00F8024A" w:rsidRPr="003B4400">
              <w:rPr>
                <w:rFonts w:ascii="Times New Roman" w:hAnsi="Times New Roman"/>
                <w:sz w:val="24"/>
                <w:szCs w:val="24"/>
                <w:lang w:val="lv-LV"/>
              </w:rPr>
              <w:t>1)</w:t>
            </w:r>
            <w:r w:rsidRPr="003B4400">
              <w:rPr>
                <w:rFonts w:ascii="Times New Roman" w:hAnsi="Times New Roman"/>
                <w:sz w:val="24"/>
                <w:szCs w:val="24"/>
                <w:lang w:val="lv-LV"/>
              </w:rPr>
              <w:t xml:space="preserve"> </w:t>
            </w:r>
            <w:r w:rsidR="001978EF" w:rsidRPr="003B4400">
              <w:rPr>
                <w:rFonts w:ascii="Times New Roman" w:hAnsi="Times New Roman"/>
                <w:sz w:val="24"/>
                <w:szCs w:val="24"/>
                <w:lang w:val="lv-LV"/>
              </w:rPr>
              <w:t xml:space="preserve">Pašreizējā situācijā spēkā esošais regulējums noteikumu </w:t>
            </w:r>
            <w:r w:rsidR="001978EF" w:rsidRPr="003B4400">
              <w:rPr>
                <w:rFonts w:ascii="Times New Roman" w:hAnsi="Times New Roman"/>
                <w:sz w:val="24"/>
                <w:szCs w:val="24"/>
                <w:shd w:val="clear" w:color="auto" w:fill="FFFFFF"/>
                <w:lang w:val="lv-LV"/>
              </w:rPr>
              <w:t xml:space="preserve">35.punkta redakcijā nosaka, ka projektu īsteno no dienas, kad noslēgts līgums par projekta īstenošanu, bet ne ilgāk kā līdz </w:t>
            </w:r>
            <w:r w:rsidR="001978EF" w:rsidRPr="00815CBB">
              <w:rPr>
                <w:rFonts w:ascii="Times New Roman" w:hAnsi="Times New Roman"/>
                <w:sz w:val="24"/>
                <w:szCs w:val="24"/>
                <w:u w:val="single"/>
                <w:shd w:val="clear" w:color="auto" w:fill="FFFFFF"/>
                <w:lang w:val="lv-LV"/>
              </w:rPr>
              <w:t>2022. gada 31. decembrim</w:t>
            </w:r>
            <w:r w:rsidR="001978EF" w:rsidRPr="003B4400">
              <w:rPr>
                <w:rFonts w:ascii="Times New Roman" w:hAnsi="Times New Roman"/>
                <w:sz w:val="24"/>
                <w:szCs w:val="24"/>
                <w:shd w:val="clear" w:color="auto" w:fill="FFFFFF"/>
                <w:lang w:val="lv-LV"/>
              </w:rPr>
              <w:t>.</w:t>
            </w:r>
          </w:p>
          <w:p w14:paraId="0A91751F" w14:textId="66AD93A9" w:rsidR="000B652E" w:rsidRDefault="001978EF" w:rsidP="00566A2A">
            <w:pPr>
              <w:jc w:val="both"/>
              <w:rPr>
                <w:rFonts w:ascii="Times New Roman" w:hAnsi="Times New Roman"/>
                <w:sz w:val="24"/>
                <w:szCs w:val="24"/>
                <w:lang w:val="lv-LV"/>
              </w:rPr>
            </w:pPr>
            <w:r w:rsidRPr="003B4400">
              <w:rPr>
                <w:rFonts w:ascii="Times New Roman" w:hAnsi="Times New Roman"/>
                <w:sz w:val="24"/>
                <w:szCs w:val="24"/>
                <w:lang w:val="lv-LV"/>
              </w:rPr>
              <w:t>Ekonomikas ministrijā</w:t>
            </w:r>
            <w:r w:rsidRPr="003B4400">
              <w:rPr>
                <w:rFonts w:ascii="Times New Roman" w:hAnsi="Times New Roman"/>
                <w:sz w:val="24"/>
                <w:szCs w:val="24"/>
                <w:lang w:val="lv-LV" w:eastAsia="lv-LV"/>
              </w:rPr>
              <w:t xml:space="preserve"> </w:t>
            </w:r>
            <w:r w:rsidR="00293AAF">
              <w:rPr>
                <w:rFonts w:ascii="Times New Roman" w:hAnsi="Times New Roman"/>
                <w:sz w:val="24"/>
                <w:szCs w:val="24"/>
                <w:lang w:val="lv-LV" w:eastAsia="lv-LV"/>
              </w:rPr>
              <w:t>tiek</w:t>
            </w:r>
            <w:r w:rsidRPr="003B4400">
              <w:rPr>
                <w:rFonts w:ascii="Times New Roman" w:hAnsi="Times New Roman"/>
                <w:sz w:val="24"/>
                <w:szCs w:val="24"/>
                <w:lang w:val="lv-LV" w:eastAsia="lv-LV"/>
              </w:rPr>
              <w:t xml:space="preserve"> </w:t>
            </w:r>
            <w:r w:rsidRPr="003B4400">
              <w:rPr>
                <w:rFonts w:ascii="Times New Roman" w:hAnsi="Times New Roman"/>
                <w:sz w:val="24"/>
                <w:szCs w:val="24"/>
                <w:lang w:val="lv-LV"/>
              </w:rPr>
              <w:t>saņemta informācija par projektiem, kuriem nepieciešami termiņ</w:t>
            </w:r>
            <w:r w:rsidR="00815CBB">
              <w:rPr>
                <w:rFonts w:ascii="Times New Roman" w:hAnsi="Times New Roman"/>
                <w:sz w:val="24"/>
                <w:szCs w:val="24"/>
                <w:lang w:val="lv-LV"/>
              </w:rPr>
              <w:t>a</w:t>
            </w:r>
            <w:r w:rsidRPr="003B4400">
              <w:rPr>
                <w:rFonts w:ascii="Times New Roman" w:hAnsi="Times New Roman"/>
                <w:sz w:val="24"/>
                <w:szCs w:val="24"/>
                <w:lang w:val="lv-LV"/>
              </w:rPr>
              <w:t xml:space="preserve"> pagarinājum</w:t>
            </w:r>
            <w:r w:rsidR="00815CBB">
              <w:rPr>
                <w:rFonts w:ascii="Times New Roman" w:hAnsi="Times New Roman"/>
                <w:sz w:val="24"/>
                <w:szCs w:val="24"/>
                <w:lang w:val="lv-LV"/>
              </w:rPr>
              <w:t>s</w:t>
            </w:r>
            <w:r w:rsidRPr="003B4400">
              <w:rPr>
                <w:rFonts w:ascii="Times New Roman" w:hAnsi="Times New Roman"/>
                <w:sz w:val="24"/>
                <w:szCs w:val="24"/>
                <w:lang w:val="lv-LV"/>
              </w:rPr>
              <w:t>, lai īstenotu un sasniegtu uzsāktos projektu mērķus. Pretējā gadījumā 4.3.1. pasākuma ietvaros šādi projekti varētu netikt īstenoti.</w:t>
            </w:r>
          </w:p>
          <w:p w14:paraId="3B9E4245" w14:textId="5FC0E25D" w:rsidR="008518B7" w:rsidRDefault="00242F1C" w:rsidP="008518B7">
            <w:pPr>
              <w:jc w:val="both"/>
              <w:rPr>
                <w:rFonts w:ascii="Times New Roman" w:hAnsi="Times New Roman"/>
                <w:iCs/>
                <w:strike/>
                <w:sz w:val="24"/>
                <w:szCs w:val="24"/>
                <w:lang w:val="lv-LV"/>
              </w:rPr>
            </w:pPr>
            <w:r w:rsidRPr="00242F1C">
              <w:rPr>
                <w:rFonts w:ascii="Times New Roman" w:hAnsi="Times New Roman"/>
                <w:sz w:val="24"/>
                <w:szCs w:val="24"/>
                <w:lang w:val="lv-LV"/>
              </w:rPr>
              <w:t>Šobrīd  nav saņemti projekti, kuriem vajag vairāk kā 6 mēnešu pagarinājumu, bet, ņemot</w:t>
            </w:r>
            <w:r w:rsidR="00203614">
              <w:rPr>
                <w:rFonts w:ascii="Times New Roman" w:hAnsi="Times New Roman"/>
                <w:sz w:val="24"/>
                <w:szCs w:val="24"/>
                <w:lang w:val="lv-LV"/>
              </w:rPr>
              <w:t xml:space="preserve"> vērā to</w:t>
            </w:r>
            <w:r w:rsidR="008518B7">
              <w:rPr>
                <w:rFonts w:ascii="Times New Roman" w:hAnsi="Times New Roman"/>
                <w:sz w:val="24"/>
                <w:szCs w:val="24"/>
                <w:lang w:val="lv-LV"/>
              </w:rPr>
              <w:t xml:space="preserve">, </w:t>
            </w:r>
            <w:r w:rsidRPr="00242F1C">
              <w:rPr>
                <w:rFonts w:ascii="Times New Roman" w:hAnsi="Times New Roman"/>
                <w:sz w:val="24"/>
                <w:szCs w:val="24"/>
                <w:lang w:val="lv-LV"/>
              </w:rPr>
              <w:t>ka šajā ziemas sezonā bija apgrūtināta siltumapgādes testēšana</w:t>
            </w:r>
            <w:r>
              <w:rPr>
                <w:rFonts w:ascii="Times New Roman" w:hAnsi="Times New Roman"/>
                <w:sz w:val="24"/>
                <w:szCs w:val="24"/>
                <w:lang w:val="lv-LV"/>
              </w:rPr>
              <w:t>, tad šādi projekti vistuvākajā laikā varētu tikt pieteikti termiņa pagarināšanai.</w:t>
            </w:r>
            <w:r w:rsidR="008518B7" w:rsidRPr="003B4400">
              <w:rPr>
                <w:rFonts w:ascii="Times New Roman" w:hAnsi="Times New Roman"/>
                <w:iCs/>
                <w:sz w:val="24"/>
                <w:szCs w:val="24"/>
                <w:lang w:val="lv-LV"/>
              </w:rPr>
              <w:t xml:space="preserve"> </w:t>
            </w:r>
            <w:r w:rsidR="008518B7">
              <w:rPr>
                <w:rFonts w:ascii="Times New Roman" w:hAnsi="Times New Roman"/>
                <w:iCs/>
                <w:sz w:val="24"/>
                <w:szCs w:val="24"/>
                <w:lang w:val="lv-LV"/>
              </w:rPr>
              <w:t xml:space="preserve">Respektīvi, </w:t>
            </w:r>
            <w:r w:rsidR="008518B7" w:rsidRPr="003B4400">
              <w:rPr>
                <w:rFonts w:ascii="Times New Roman" w:hAnsi="Times New Roman"/>
                <w:iCs/>
                <w:sz w:val="24"/>
                <w:szCs w:val="24"/>
                <w:lang w:val="lv-LV"/>
              </w:rPr>
              <w:t xml:space="preserve">radušos </w:t>
            </w:r>
            <w:r w:rsidR="008518B7" w:rsidRPr="003B4400">
              <w:rPr>
                <w:rFonts w:ascii="Times New Roman" w:hAnsi="Times New Roman"/>
                <w:iCs/>
                <w:sz w:val="24"/>
                <w:szCs w:val="24"/>
                <w:lang w:val="lv-LV"/>
              </w:rPr>
              <w:lastRenderedPageBreak/>
              <w:t xml:space="preserve">situāciju </w:t>
            </w:r>
            <w:proofErr w:type="spellStart"/>
            <w:r w:rsidR="008518B7" w:rsidRPr="003B4400">
              <w:rPr>
                <w:rFonts w:ascii="Times New Roman" w:hAnsi="Times New Roman"/>
                <w:iCs/>
                <w:sz w:val="24"/>
                <w:szCs w:val="24"/>
                <w:lang w:val="lv-LV"/>
              </w:rPr>
              <w:t>sar</w:t>
            </w:r>
            <w:bookmarkStart w:id="4" w:name="_GoBack"/>
            <w:bookmarkEnd w:id="4"/>
            <w:r w:rsidR="008518B7" w:rsidRPr="003B4400">
              <w:rPr>
                <w:rFonts w:ascii="Times New Roman" w:hAnsi="Times New Roman"/>
                <w:iCs/>
                <w:sz w:val="24"/>
                <w:szCs w:val="24"/>
                <w:lang w:val="lv-LV"/>
              </w:rPr>
              <w:t>ežģī</w:t>
            </w:r>
            <w:proofErr w:type="spellEnd"/>
            <w:r w:rsidR="008518B7" w:rsidRPr="003B4400">
              <w:rPr>
                <w:rFonts w:ascii="Times New Roman" w:hAnsi="Times New Roman"/>
                <w:iCs/>
                <w:sz w:val="24"/>
                <w:szCs w:val="24"/>
                <w:lang w:val="lv-LV"/>
              </w:rPr>
              <w:t xml:space="preserve"> atsevišķi specifiski faktori, kas raksturīgi tieši siltumapgādes nozarei un ietekmē to, ka nepieciešams ilgāks projekta īstenošanas termiņš. Piemēram, pirms iekārtu pieņemšanas ekspluatācijā, ir nepieciešamas veikt iekārtu testēšanu apkures sezonas laikā, taču saistībā ar neparedzēto apstākļu dēļ radušos līguma izpildes kavējumu, iespēja veikt testēšanu šajā apkures sezonas laikā ir apdraudēta. Testēšana iespējama tikai nākamajā apkures sezonā.</w:t>
            </w:r>
          </w:p>
          <w:p w14:paraId="2C06A11F" w14:textId="41612968" w:rsidR="00242F1C" w:rsidRPr="008518B7" w:rsidRDefault="008518B7" w:rsidP="008518B7">
            <w:pPr>
              <w:jc w:val="both"/>
              <w:rPr>
                <w:rFonts w:ascii="Times New Roman" w:hAnsi="Times New Roman"/>
                <w:iCs/>
                <w:sz w:val="24"/>
                <w:szCs w:val="24"/>
                <w:lang w:val="lv-LV"/>
              </w:rPr>
            </w:pPr>
            <w:r w:rsidRPr="003B4400">
              <w:rPr>
                <w:rFonts w:ascii="Times New Roman" w:hAnsi="Times New Roman"/>
                <w:iCs/>
                <w:sz w:val="24"/>
                <w:szCs w:val="24"/>
                <w:lang w:val="lv-LV"/>
              </w:rPr>
              <w:t>Turklāt projektu realizāciju ir ievērojami kavējusi ārkārtas situācija saistībā ar Covid-19, kuras rezultātā līgumos noteiktajā termiņā nav iespējams pilnvērtīgi izpildīt līgumos paredzētos darbus, jo tiek kavētas preču piegādes, kā rezultātā</w:t>
            </w:r>
            <w:r>
              <w:rPr>
                <w:rFonts w:ascii="Times New Roman" w:hAnsi="Times New Roman"/>
                <w:iCs/>
                <w:sz w:val="24"/>
                <w:szCs w:val="24"/>
                <w:lang w:val="lv-LV"/>
              </w:rPr>
              <w:t>, piemēram,</w:t>
            </w:r>
            <w:r w:rsidRPr="003B4400">
              <w:rPr>
                <w:rFonts w:ascii="Times New Roman" w:hAnsi="Times New Roman"/>
                <w:iCs/>
                <w:sz w:val="24"/>
                <w:szCs w:val="24"/>
                <w:lang w:val="lv-LV"/>
              </w:rPr>
              <w:t xml:space="preserve"> būvdarbi var netikt pabeigti līgumos noteiktajos termiņos, un tādēļ tiek lemts jautājums par termiņa pagarināšanu.</w:t>
            </w:r>
          </w:p>
          <w:p w14:paraId="499AA03C" w14:textId="2181095D" w:rsidR="00FE2453" w:rsidRPr="008518B7" w:rsidRDefault="008518B7" w:rsidP="008518B7">
            <w:pPr>
              <w:jc w:val="both"/>
              <w:rPr>
                <w:rFonts w:ascii="Times New Roman" w:hAnsi="Times New Roman"/>
                <w:iCs/>
                <w:sz w:val="24"/>
                <w:szCs w:val="24"/>
                <w:lang w:val="lv-LV"/>
              </w:rPr>
            </w:pPr>
            <w:r>
              <w:rPr>
                <w:rFonts w:ascii="Times New Roman" w:hAnsi="Times New Roman"/>
                <w:sz w:val="24"/>
                <w:szCs w:val="24"/>
                <w:lang w:val="lv-LV"/>
              </w:rPr>
              <w:t xml:space="preserve">Šāds termiņa pagarinājums ir veikts </w:t>
            </w:r>
            <w:r w:rsidRPr="00242F1C">
              <w:rPr>
                <w:rFonts w:ascii="Times New Roman" w:hAnsi="Times New Roman"/>
                <w:sz w:val="24"/>
                <w:szCs w:val="24"/>
                <w:lang w:val="lv-LV"/>
              </w:rPr>
              <w:t>2021.gada 24.martā pieņemt</w:t>
            </w:r>
            <w:r>
              <w:rPr>
                <w:rFonts w:ascii="Times New Roman" w:hAnsi="Times New Roman"/>
                <w:sz w:val="24"/>
                <w:szCs w:val="24"/>
                <w:lang w:val="lv-LV"/>
              </w:rPr>
              <w:t>ajos</w:t>
            </w:r>
            <w:r w:rsidRPr="00242F1C">
              <w:rPr>
                <w:rFonts w:ascii="Times New Roman" w:hAnsi="Times New Roman"/>
                <w:sz w:val="24"/>
                <w:szCs w:val="24"/>
                <w:lang w:val="lv-LV"/>
              </w:rPr>
              <w:t xml:space="preserve"> grozījum</w:t>
            </w:r>
            <w:r>
              <w:rPr>
                <w:rFonts w:ascii="Times New Roman" w:hAnsi="Times New Roman"/>
                <w:sz w:val="24"/>
                <w:szCs w:val="24"/>
                <w:lang w:val="lv-LV"/>
              </w:rPr>
              <w:t>os</w:t>
            </w:r>
            <w:r w:rsidRPr="00242F1C">
              <w:rPr>
                <w:rFonts w:ascii="Times New Roman" w:hAnsi="Times New Roman"/>
                <w:sz w:val="24"/>
                <w:szCs w:val="24"/>
                <w:lang w:val="lv-LV"/>
              </w:rPr>
              <w:t xml:space="preserve"> </w:t>
            </w:r>
            <w:r>
              <w:rPr>
                <w:rFonts w:ascii="Times New Roman" w:hAnsi="Times New Roman"/>
                <w:color w:val="2A2A2A"/>
                <w:sz w:val="24"/>
                <w:szCs w:val="24"/>
                <w:shd w:val="clear" w:color="auto" w:fill="FFFFFF"/>
                <w:lang w:val="lv-LV"/>
              </w:rPr>
              <w:t>n</w:t>
            </w:r>
            <w:r w:rsidRPr="002E3309">
              <w:rPr>
                <w:rFonts w:ascii="Times New Roman" w:hAnsi="Times New Roman"/>
                <w:color w:val="2A2A2A"/>
                <w:sz w:val="24"/>
                <w:szCs w:val="24"/>
                <w:shd w:val="clear" w:color="auto" w:fill="FFFFFF"/>
                <w:lang w:val="lv-LV"/>
              </w:rPr>
              <w:t>oteikumu projektā "Grozījumi Ministru kabineta 2017.gada 7.marta noteikumos Nr.135 "Darbības programmas "Izaugsme un nodarbinātība" 4.3.1.specifiskā atbalsta mērķa "Veicināt energoefektivitāti un vietējo AER izmantošanu centralizētajā siltumapgādē" pirmās projektu iesniegumu atlases kārtas īstenošanas noteikumi</w:t>
            </w:r>
            <w:r w:rsidRPr="008518B7">
              <w:rPr>
                <w:rFonts w:ascii="Times New Roman" w:hAnsi="Times New Roman"/>
                <w:color w:val="2A2A2A"/>
                <w:sz w:val="24"/>
                <w:szCs w:val="24"/>
                <w:shd w:val="clear" w:color="auto" w:fill="FFFFFF"/>
                <w:lang w:val="lv-LV"/>
              </w:rPr>
              <w:t>""</w:t>
            </w:r>
            <w:r w:rsidRPr="008518B7">
              <w:rPr>
                <w:rFonts w:ascii="Times New Roman" w:hAnsi="Times New Roman"/>
                <w:sz w:val="24"/>
                <w:szCs w:val="24"/>
                <w:lang w:val="lv-LV" w:eastAsia="lv-LV"/>
              </w:rPr>
              <w:t xml:space="preserve">, kur viens no mērķiem ir precizēt projektu īstenošanas termiņu līdz 2023.gada 31.decembrim, lai </w:t>
            </w:r>
            <w:r w:rsidRPr="008518B7">
              <w:rPr>
                <w:rFonts w:ascii="Times New Roman" w:hAnsi="Times New Roman"/>
                <w:sz w:val="24"/>
                <w:szCs w:val="24"/>
                <w:lang w:val="lv-LV"/>
              </w:rPr>
              <w:t xml:space="preserve">4.3.1. pasākuma ietvaros  SIA “Iecavas siltums” un pašvaldības akciju sabiedrības “Daugavpils siltumtīkli” projekti varētu tikt īstenoti. Savādāk </w:t>
            </w:r>
            <w:r w:rsidRPr="008518B7">
              <w:rPr>
                <w:rFonts w:ascii="Times New Roman" w:hAnsi="Times New Roman"/>
                <w:iCs/>
                <w:sz w:val="24"/>
                <w:szCs w:val="24"/>
                <w:lang w:val="lv-LV"/>
              </w:rPr>
              <w:t>projektu realizācija ir apdraudēta un nebūtu iespējas savlaicīgi izpildīt līgumā noteiktās saistības.</w:t>
            </w:r>
            <w:r>
              <w:rPr>
                <w:rFonts w:ascii="Times New Roman" w:hAnsi="Times New Roman"/>
                <w:iCs/>
                <w:sz w:val="24"/>
                <w:szCs w:val="24"/>
                <w:lang w:val="lv-LV"/>
              </w:rPr>
              <w:t xml:space="preserve"> Kā arī </w:t>
            </w:r>
            <w:r w:rsidRPr="003B4400">
              <w:rPr>
                <w:rFonts w:ascii="Times New Roman" w:hAnsi="Times New Roman"/>
                <w:sz w:val="24"/>
                <w:szCs w:val="24"/>
                <w:lang w:val="lv-LV"/>
              </w:rPr>
              <w:t xml:space="preserve">šāds gala termiņš jau ir noteikts </w:t>
            </w:r>
            <w:r w:rsidRPr="003B4400">
              <w:rPr>
                <w:rFonts w:ascii="Times New Roman" w:hAnsi="Times New Roman"/>
                <w:sz w:val="24"/>
                <w:szCs w:val="24"/>
                <w:lang w:val="lv-LV" w:eastAsia="lv-LV"/>
              </w:rPr>
              <w:t>Ministru kabineta 2019.gada noteikumu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38.punktā.</w:t>
            </w:r>
          </w:p>
          <w:p w14:paraId="60735143" w14:textId="77777777" w:rsidR="00632E9D" w:rsidRPr="00632E9D" w:rsidRDefault="00FE2453" w:rsidP="00632E9D">
            <w:pPr>
              <w:pStyle w:val="NoSpacing"/>
              <w:jc w:val="both"/>
              <w:rPr>
                <w:rFonts w:ascii="Times New Roman" w:hAnsi="Times New Roman"/>
                <w:sz w:val="24"/>
                <w:szCs w:val="24"/>
                <w:lang w:val="lv-LV"/>
              </w:rPr>
            </w:pPr>
            <w:r w:rsidRPr="00632E9D">
              <w:rPr>
                <w:rFonts w:ascii="Times New Roman" w:hAnsi="Times New Roman"/>
                <w:sz w:val="24"/>
                <w:szCs w:val="24"/>
                <w:lang w:val="lv-LV" w:eastAsia="lv-LV"/>
              </w:rPr>
              <w:t xml:space="preserve">Līdz ar to analoģiski ir jāveic grozījums par termiņa pagarinājumu arī  </w:t>
            </w:r>
            <w:r w:rsidRPr="00632E9D">
              <w:rPr>
                <w:rFonts w:ascii="Times New Roman" w:hAnsi="Times New Roman"/>
                <w:sz w:val="24"/>
                <w:szCs w:val="24"/>
                <w:lang w:val="lv-LV"/>
              </w:rPr>
              <w:t xml:space="preserve"> </w:t>
            </w:r>
            <w:r w:rsidRPr="00632E9D">
              <w:rPr>
                <w:rFonts w:ascii="Times New Roman" w:hAnsi="Times New Roman"/>
                <w:sz w:val="24"/>
                <w:szCs w:val="24"/>
                <w:lang w:val="lv-LV" w:eastAsia="lv-LV"/>
              </w:rPr>
              <w:t xml:space="preserve">Ministru kabineta 2017. gada 22. augusta noteikumu Nr. 495 "Darbības programmas "Izaugsme un nodarbinātība" 4.3.1. specifiskā atbalsta mērķa "Veicināt energoefektivitāti un vietējo AER izmantošanu centralizētajā siltumapgādē" otrās projektu iesniegumu atlases kārtas īstenošanas noteikumi" 35.punktā, </w:t>
            </w:r>
            <w:r w:rsidRPr="00632E9D">
              <w:rPr>
                <w:rFonts w:ascii="Times New Roman" w:hAnsi="Times New Roman"/>
                <w:sz w:val="24"/>
                <w:szCs w:val="24"/>
                <w:lang w:val="lv-LV"/>
              </w:rPr>
              <w:t>izsakot 35.punktu šādā redakcijā:</w:t>
            </w:r>
          </w:p>
          <w:p w14:paraId="4423C8E2" w14:textId="1EAB134F" w:rsidR="005564AC" w:rsidRDefault="00FE2453" w:rsidP="0037694C">
            <w:pPr>
              <w:pStyle w:val="NoSpacing"/>
              <w:jc w:val="both"/>
              <w:rPr>
                <w:rFonts w:ascii="Times New Roman" w:hAnsi="Times New Roman"/>
                <w:sz w:val="24"/>
                <w:szCs w:val="24"/>
                <w:lang w:val="lv-LV"/>
              </w:rPr>
            </w:pPr>
            <w:r w:rsidRPr="00632E9D">
              <w:rPr>
                <w:rFonts w:ascii="Times New Roman" w:hAnsi="Times New Roman"/>
                <w:sz w:val="24"/>
                <w:szCs w:val="24"/>
                <w:lang w:val="lv-LV"/>
              </w:rPr>
              <w:t>"</w:t>
            </w:r>
            <w:r w:rsidR="00A948AE" w:rsidRPr="00CC1148">
              <w:rPr>
                <w:rFonts w:ascii="Times New Roman" w:hAnsi="Times New Roman"/>
                <w:sz w:val="24"/>
                <w:szCs w:val="24"/>
                <w:lang w:eastAsia="lv-LV"/>
              </w:rPr>
              <w:t>35.</w:t>
            </w:r>
            <w:r w:rsidR="005852C8" w:rsidRPr="00CC1148">
              <w:rPr>
                <w:rFonts w:ascii="Times New Roman" w:hAnsi="Times New Roman"/>
                <w:color w:val="414142"/>
                <w:sz w:val="24"/>
                <w:szCs w:val="24"/>
                <w:shd w:val="clear" w:color="auto" w:fill="FFFFFF"/>
              </w:rPr>
              <w:t xml:space="preserve">Projektu </w:t>
            </w:r>
            <w:proofErr w:type="spellStart"/>
            <w:r w:rsidR="005852C8" w:rsidRPr="00CC1148">
              <w:rPr>
                <w:rFonts w:ascii="Times New Roman" w:hAnsi="Times New Roman"/>
                <w:color w:val="414142"/>
                <w:sz w:val="24"/>
                <w:szCs w:val="24"/>
                <w:shd w:val="clear" w:color="auto" w:fill="FFFFFF"/>
              </w:rPr>
              <w:t>īsteno</w:t>
            </w:r>
            <w:proofErr w:type="spellEnd"/>
            <w:r w:rsidR="005852C8" w:rsidRPr="00CC1148">
              <w:rPr>
                <w:rFonts w:ascii="Times New Roman" w:hAnsi="Times New Roman"/>
                <w:color w:val="414142"/>
                <w:sz w:val="24"/>
                <w:szCs w:val="24"/>
                <w:shd w:val="clear" w:color="auto" w:fill="FFFFFF"/>
              </w:rPr>
              <w:t xml:space="preserve"> no </w:t>
            </w:r>
            <w:proofErr w:type="spellStart"/>
            <w:r w:rsidR="005852C8" w:rsidRPr="00CC1148">
              <w:rPr>
                <w:rFonts w:ascii="Times New Roman" w:hAnsi="Times New Roman"/>
                <w:color w:val="414142"/>
                <w:sz w:val="24"/>
                <w:szCs w:val="24"/>
                <w:shd w:val="clear" w:color="auto" w:fill="FFFFFF"/>
              </w:rPr>
              <w:t>dienas</w:t>
            </w:r>
            <w:proofErr w:type="spellEnd"/>
            <w:r w:rsidR="005852C8" w:rsidRPr="00CC1148">
              <w:rPr>
                <w:rFonts w:ascii="Times New Roman" w:hAnsi="Times New Roman"/>
                <w:color w:val="414142"/>
                <w:sz w:val="24"/>
                <w:szCs w:val="24"/>
                <w:shd w:val="clear" w:color="auto" w:fill="FFFFFF"/>
              </w:rPr>
              <w:t xml:space="preserve">, </w:t>
            </w:r>
            <w:proofErr w:type="spellStart"/>
            <w:r w:rsidR="005852C8" w:rsidRPr="00CC1148">
              <w:rPr>
                <w:rFonts w:ascii="Times New Roman" w:hAnsi="Times New Roman"/>
                <w:color w:val="414142"/>
                <w:sz w:val="24"/>
                <w:szCs w:val="24"/>
                <w:shd w:val="clear" w:color="auto" w:fill="FFFFFF"/>
              </w:rPr>
              <w:t>kad</w:t>
            </w:r>
            <w:proofErr w:type="spellEnd"/>
            <w:r w:rsidR="005852C8" w:rsidRPr="00CC1148">
              <w:rPr>
                <w:rFonts w:ascii="Times New Roman" w:hAnsi="Times New Roman"/>
                <w:color w:val="414142"/>
                <w:sz w:val="24"/>
                <w:szCs w:val="24"/>
                <w:shd w:val="clear" w:color="auto" w:fill="FFFFFF"/>
              </w:rPr>
              <w:t xml:space="preserve"> </w:t>
            </w:r>
            <w:proofErr w:type="spellStart"/>
            <w:r w:rsidR="005852C8" w:rsidRPr="00CC1148">
              <w:rPr>
                <w:rFonts w:ascii="Times New Roman" w:hAnsi="Times New Roman"/>
                <w:color w:val="414142"/>
                <w:sz w:val="24"/>
                <w:szCs w:val="24"/>
                <w:shd w:val="clear" w:color="auto" w:fill="FFFFFF"/>
              </w:rPr>
              <w:t>noslēgts</w:t>
            </w:r>
            <w:proofErr w:type="spellEnd"/>
            <w:r w:rsidR="005852C8" w:rsidRPr="00CC1148">
              <w:rPr>
                <w:rFonts w:ascii="Times New Roman" w:hAnsi="Times New Roman"/>
                <w:color w:val="414142"/>
                <w:sz w:val="24"/>
                <w:szCs w:val="24"/>
                <w:shd w:val="clear" w:color="auto" w:fill="FFFFFF"/>
              </w:rPr>
              <w:t xml:space="preserve"> </w:t>
            </w:r>
            <w:proofErr w:type="spellStart"/>
            <w:r w:rsidR="005852C8" w:rsidRPr="00CC1148">
              <w:rPr>
                <w:rFonts w:ascii="Times New Roman" w:hAnsi="Times New Roman"/>
                <w:color w:val="414142"/>
                <w:sz w:val="24"/>
                <w:szCs w:val="24"/>
                <w:shd w:val="clear" w:color="auto" w:fill="FFFFFF"/>
              </w:rPr>
              <w:t>līgums</w:t>
            </w:r>
            <w:proofErr w:type="spellEnd"/>
            <w:r w:rsidR="005852C8" w:rsidRPr="00CC1148">
              <w:rPr>
                <w:rFonts w:ascii="Times New Roman" w:hAnsi="Times New Roman"/>
                <w:color w:val="414142"/>
                <w:sz w:val="24"/>
                <w:szCs w:val="24"/>
                <w:shd w:val="clear" w:color="auto" w:fill="FFFFFF"/>
              </w:rPr>
              <w:t xml:space="preserve"> par </w:t>
            </w:r>
            <w:proofErr w:type="spellStart"/>
            <w:r w:rsidR="005852C8" w:rsidRPr="00CC1148">
              <w:rPr>
                <w:rFonts w:ascii="Times New Roman" w:hAnsi="Times New Roman"/>
                <w:color w:val="414142"/>
                <w:sz w:val="24"/>
                <w:szCs w:val="24"/>
                <w:shd w:val="clear" w:color="auto" w:fill="FFFFFF"/>
              </w:rPr>
              <w:t>projekta</w:t>
            </w:r>
            <w:proofErr w:type="spellEnd"/>
            <w:r w:rsidR="005852C8" w:rsidRPr="00CC1148">
              <w:rPr>
                <w:rFonts w:ascii="Times New Roman" w:hAnsi="Times New Roman"/>
                <w:color w:val="414142"/>
                <w:sz w:val="24"/>
                <w:szCs w:val="24"/>
                <w:shd w:val="clear" w:color="auto" w:fill="FFFFFF"/>
              </w:rPr>
              <w:t xml:space="preserve"> </w:t>
            </w:r>
            <w:proofErr w:type="spellStart"/>
            <w:r w:rsidR="005852C8" w:rsidRPr="00CC1148">
              <w:rPr>
                <w:rFonts w:ascii="Times New Roman" w:hAnsi="Times New Roman"/>
                <w:color w:val="414142"/>
                <w:sz w:val="24"/>
                <w:szCs w:val="24"/>
                <w:shd w:val="clear" w:color="auto" w:fill="FFFFFF"/>
              </w:rPr>
              <w:t>īstenošanu</w:t>
            </w:r>
            <w:proofErr w:type="spellEnd"/>
            <w:r w:rsidR="005852C8" w:rsidRPr="00CC1148">
              <w:rPr>
                <w:rFonts w:ascii="Times New Roman" w:hAnsi="Times New Roman"/>
                <w:color w:val="414142"/>
                <w:sz w:val="24"/>
                <w:szCs w:val="24"/>
                <w:shd w:val="clear" w:color="auto" w:fill="FFFFFF"/>
              </w:rPr>
              <w:t xml:space="preserve">, bet ne </w:t>
            </w:r>
            <w:proofErr w:type="spellStart"/>
            <w:r w:rsidR="005852C8" w:rsidRPr="00CC1148">
              <w:rPr>
                <w:rFonts w:ascii="Times New Roman" w:hAnsi="Times New Roman"/>
                <w:color w:val="414142"/>
                <w:sz w:val="24"/>
                <w:szCs w:val="24"/>
                <w:shd w:val="clear" w:color="auto" w:fill="FFFFFF"/>
              </w:rPr>
              <w:t>ilgāk</w:t>
            </w:r>
            <w:proofErr w:type="spellEnd"/>
            <w:r w:rsidR="005852C8" w:rsidRPr="00CC1148">
              <w:rPr>
                <w:rFonts w:ascii="Times New Roman" w:hAnsi="Times New Roman"/>
                <w:color w:val="414142"/>
                <w:sz w:val="24"/>
                <w:szCs w:val="24"/>
                <w:shd w:val="clear" w:color="auto" w:fill="FFFFFF"/>
              </w:rPr>
              <w:t xml:space="preserve"> </w:t>
            </w:r>
            <w:proofErr w:type="spellStart"/>
            <w:r w:rsidR="005852C8" w:rsidRPr="00CC1148">
              <w:rPr>
                <w:rFonts w:ascii="Times New Roman" w:hAnsi="Times New Roman"/>
                <w:color w:val="414142"/>
                <w:sz w:val="24"/>
                <w:szCs w:val="24"/>
                <w:shd w:val="clear" w:color="auto" w:fill="FFFFFF"/>
              </w:rPr>
              <w:t>kā</w:t>
            </w:r>
            <w:proofErr w:type="spellEnd"/>
            <w:r w:rsidR="005852C8" w:rsidRPr="00CC1148">
              <w:rPr>
                <w:rFonts w:ascii="Times New Roman" w:hAnsi="Times New Roman"/>
                <w:color w:val="414142"/>
                <w:sz w:val="24"/>
                <w:szCs w:val="24"/>
                <w:shd w:val="clear" w:color="auto" w:fill="FFFFFF"/>
              </w:rPr>
              <w:t xml:space="preserve"> </w:t>
            </w:r>
            <w:proofErr w:type="spellStart"/>
            <w:r w:rsidR="005852C8" w:rsidRPr="00CC1148">
              <w:rPr>
                <w:rFonts w:ascii="Times New Roman" w:hAnsi="Times New Roman"/>
                <w:color w:val="414142"/>
                <w:sz w:val="24"/>
                <w:szCs w:val="24"/>
                <w:shd w:val="clear" w:color="auto" w:fill="FFFFFF"/>
              </w:rPr>
              <w:t>līdz</w:t>
            </w:r>
            <w:proofErr w:type="spellEnd"/>
            <w:r w:rsidR="005852C8" w:rsidRPr="00CC1148">
              <w:rPr>
                <w:rFonts w:ascii="Times New Roman" w:hAnsi="Times New Roman"/>
                <w:color w:val="414142"/>
                <w:sz w:val="24"/>
                <w:szCs w:val="24"/>
                <w:shd w:val="clear" w:color="auto" w:fill="FFFFFF"/>
              </w:rPr>
              <w:t xml:space="preserve"> </w:t>
            </w:r>
            <w:r w:rsidR="005852C8" w:rsidRPr="00487DAB">
              <w:rPr>
                <w:rFonts w:ascii="Times New Roman" w:hAnsi="Times New Roman"/>
                <w:b/>
                <w:bCs/>
                <w:color w:val="414142"/>
                <w:sz w:val="24"/>
                <w:szCs w:val="24"/>
                <w:shd w:val="clear" w:color="auto" w:fill="FFFFFF"/>
              </w:rPr>
              <w:t>2023. </w:t>
            </w:r>
            <w:proofErr w:type="spellStart"/>
            <w:r w:rsidR="005852C8" w:rsidRPr="00487DAB">
              <w:rPr>
                <w:rFonts w:ascii="Times New Roman" w:hAnsi="Times New Roman"/>
                <w:b/>
                <w:bCs/>
                <w:color w:val="414142"/>
                <w:sz w:val="24"/>
                <w:szCs w:val="24"/>
                <w:shd w:val="clear" w:color="auto" w:fill="FFFFFF"/>
              </w:rPr>
              <w:t>gada</w:t>
            </w:r>
            <w:proofErr w:type="spellEnd"/>
            <w:r w:rsidR="005852C8" w:rsidRPr="00487DAB">
              <w:rPr>
                <w:rFonts w:ascii="Times New Roman" w:hAnsi="Times New Roman"/>
                <w:b/>
                <w:bCs/>
                <w:color w:val="414142"/>
                <w:sz w:val="24"/>
                <w:szCs w:val="24"/>
                <w:shd w:val="clear" w:color="auto" w:fill="FFFFFF"/>
              </w:rPr>
              <w:t xml:space="preserve"> 31. </w:t>
            </w:r>
            <w:proofErr w:type="spellStart"/>
            <w:r w:rsidR="005852C8" w:rsidRPr="00487DAB">
              <w:rPr>
                <w:rFonts w:ascii="Times New Roman" w:hAnsi="Times New Roman"/>
                <w:b/>
                <w:bCs/>
                <w:color w:val="414142"/>
                <w:sz w:val="24"/>
                <w:szCs w:val="24"/>
                <w:shd w:val="clear" w:color="auto" w:fill="FFFFFF"/>
              </w:rPr>
              <w:t>decembrim</w:t>
            </w:r>
            <w:proofErr w:type="spellEnd"/>
            <w:r w:rsidR="005852C8" w:rsidRPr="00CC1148">
              <w:rPr>
                <w:rFonts w:ascii="Times New Roman" w:hAnsi="Times New Roman"/>
                <w:color w:val="414142"/>
                <w:sz w:val="24"/>
                <w:szCs w:val="24"/>
                <w:shd w:val="clear" w:color="auto" w:fill="FFFFFF"/>
              </w:rPr>
              <w:t>.”</w:t>
            </w:r>
            <w:bookmarkStart w:id="5" w:name="_Hlk40364152"/>
          </w:p>
          <w:p w14:paraId="6A752B83" w14:textId="77777777" w:rsidR="0037694C" w:rsidRDefault="0037694C" w:rsidP="0037694C">
            <w:pPr>
              <w:pStyle w:val="NoSpacing"/>
              <w:jc w:val="both"/>
              <w:rPr>
                <w:rFonts w:ascii="Times New Roman" w:hAnsi="Times New Roman"/>
                <w:sz w:val="24"/>
                <w:szCs w:val="24"/>
                <w:lang w:val="lv-LV"/>
              </w:rPr>
            </w:pPr>
          </w:p>
          <w:p w14:paraId="1061C095" w14:textId="4627D482" w:rsidR="00691E15" w:rsidRDefault="007F02E1" w:rsidP="00ED295B">
            <w:pPr>
              <w:pStyle w:val="FootnoteText"/>
              <w:rPr>
                <w:sz w:val="24"/>
                <w:szCs w:val="24"/>
                <w:lang w:val="lv-LV"/>
              </w:rPr>
            </w:pPr>
            <w:r w:rsidRPr="003B4400">
              <w:rPr>
                <w:sz w:val="24"/>
                <w:szCs w:val="24"/>
                <w:lang w:val="lv-LV"/>
              </w:rPr>
              <w:t xml:space="preserve">Projektu īstenošanas termiņa pagarināšana </w:t>
            </w:r>
            <w:r w:rsidR="00FF6480">
              <w:rPr>
                <w:sz w:val="24"/>
                <w:szCs w:val="24"/>
                <w:lang w:val="lv-LV"/>
              </w:rPr>
              <w:t xml:space="preserve">tiek veikta saskaņā ar </w:t>
            </w:r>
            <w:r w:rsidR="00ED295B" w:rsidRPr="00ED295B">
              <w:rPr>
                <w:sz w:val="16"/>
                <w:szCs w:val="16"/>
                <w:lang w:val="lv-LV"/>
              </w:rPr>
              <w:t xml:space="preserve"> </w:t>
            </w:r>
            <w:r w:rsidR="00ED295B" w:rsidRPr="00ED295B">
              <w:rPr>
                <w:sz w:val="24"/>
                <w:szCs w:val="24"/>
                <w:lang w:val="lv-LV"/>
              </w:rPr>
              <w:t>Eiropas Parlamenta un Padomes 2013.gada 17.decembra Regul</w:t>
            </w:r>
            <w:r w:rsidR="00ED295B">
              <w:rPr>
                <w:sz w:val="24"/>
                <w:szCs w:val="24"/>
                <w:lang w:val="lv-LV"/>
              </w:rPr>
              <w:t>u</w:t>
            </w:r>
            <w:r w:rsidR="00ED295B" w:rsidRPr="00ED295B">
              <w:rPr>
                <w:sz w:val="24"/>
                <w:szCs w:val="24"/>
                <w:lang w:val="lv-LV"/>
              </w:rPr>
              <w:t xml:space="preserve"> </w:t>
            </w:r>
            <w:r w:rsidR="00ED295B" w:rsidRPr="00ED295B">
              <w:rPr>
                <w:sz w:val="24"/>
                <w:szCs w:val="24"/>
                <w:lang w:val="lv-LV"/>
              </w:rPr>
              <w:lastRenderedPageBreak/>
              <w:t>(ES)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FF6480">
              <w:rPr>
                <w:sz w:val="24"/>
                <w:szCs w:val="24"/>
                <w:lang w:val="lv-LV"/>
              </w:rPr>
              <w:t xml:space="preserve">, kur </w:t>
            </w:r>
            <w:r w:rsidRPr="003B4400">
              <w:rPr>
                <w:sz w:val="24"/>
                <w:szCs w:val="24"/>
                <w:lang w:val="lv-LV"/>
              </w:rPr>
              <w:t>2023. gada 31. decembri</w:t>
            </w:r>
            <w:r w:rsidR="00FF6480">
              <w:rPr>
                <w:sz w:val="24"/>
                <w:szCs w:val="24"/>
                <w:lang w:val="lv-LV"/>
              </w:rPr>
              <w:t>s ir termiņš līdz kuram ir attiecināmi izdevumi. Termiņa pagarināšana</w:t>
            </w:r>
            <w:r w:rsidRPr="003B4400">
              <w:rPr>
                <w:sz w:val="24"/>
                <w:szCs w:val="24"/>
                <w:lang w:val="lv-LV"/>
              </w:rPr>
              <w:t xml:space="preserve"> nodrošinās labvēlīgākus nosacījumus finansējuma saņēmējiem projektu īstenošanā, t.sk. mazinātu nenoteiktību un riskus, ko uz projektu īstenošanu un projektu īstenošanas termiņu ievērošanu varētu atstāt, piemēram, COVID-19.</w:t>
            </w:r>
          </w:p>
          <w:p w14:paraId="01104F8E" w14:textId="77777777" w:rsidR="00ED295B" w:rsidRPr="003B4400" w:rsidRDefault="00ED295B" w:rsidP="00ED295B">
            <w:pPr>
              <w:pStyle w:val="FootnoteText"/>
              <w:rPr>
                <w:sz w:val="24"/>
                <w:szCs w:val="24"/>
                <w:lang w:val="lv-LV"/>
              </w:rPr>
            </w:pPr>
          </w:p>
          <w:p w14:paraId="07F014BF" w14:textId="26A50B46" w:rsidR="007F02E1" w:rsidRPr="003B4400" w:rsidRDefault="007F02E1" w:rsidP="00A15812">
            <w:pPr>
              <w:widowControl w:val="0"/>
              <w:tabs>
                <w:tab w:val="left" w:pos="567"/>
              </w:tabs>
              <w:spacing w:line="240" w:lineRule="auto"/>
              <w:jc w:val="both"/>
              <w:rPr>
                <w:rFonts w:ascii="Times New Roman" w:hAnsi="Times New Roman"/>
                <w:sz w:val="24"/>
                <w:szCs w:val="24"/>
                <w:lang w:val="lv-LV"/>
              </w:rPr>
            </w:pPr>
            <w:bookmarkStart w:id="6" w:name="_Hlk40364181"/>
            <w:bookmarkEnd w:id="5"/>
            <w:r w:rsidRPr="00A15812">
              <w:rPr>
                <w:rFonts w:ascii="Times New Roman" w:hAnsi="Times New Roman"/>
                <w:sz w:val="24"/>
                <w:szCs w:val="24"/>
                <w:lang w:val="lv-LV"/>
              </w:rPr>
              <w:t>Ievērojot, ka projekt</w:t>
            </w:r>
            <w:r w:rsidR="00A15812">
              <w:rPr>
                <w:rFonts w:ascii="Times New Roman" w:hAnsi="Times New Roman"/>
                <w:sz w:val="24"/>
                <w:szCs w:val="24"/>
                <w:lang w:val="lv-LV"/>
              </w:rPr>
              <w:t>u</w:t>
            </w:r>
            <w:r w:rsidRPr="00A15812">
              <w:rPr>
                <w:rFonts w:ascii="Times New Roman" w:hAnsi="Times New Roman"/>
                <w:sz w:val="24"/>
                <w:szCs w:val="24"/>
                <w:lang w:val="lv-LV"/>
              </w:rPr>
              <w:t xml:space="preserve"> īstenošanas termiņa ierobežojums nav saistīts ar projekt</w:t>
            </w:r>
            <w:r w:rsidR="00A15812">
              <w:rPr>
                <w:rFonts w:ascii="Times New Roman" w:hAnsi="Times New Roman"/>
                <w:sz w:val="24"/>
                <w:szCs w:val="24"/>
                <w:lang w:val="lv-LV"/>
              </w:rPr>
              <w:t>u</w:t>
            </w:r>
            <w:r w:rsidRPr="00A15812">
              <w:rPr>
                <w:rFonts w:ascii="Times New Roman" w:hAnsi="Times New Roman"/>
                <w:sz w:val="24"/>
                <w:szCs w:val="24"/>
                <w:lang w:val="lv-LV"/>
              </w:rPr>
              <w:t xml:space="preserve"> mērķi, galvenajām darbībām, kopējām izmaksām un plānoto rezultātu,</w:t>
            </w:r>
            <w:bookmarkStart w:id="7" w:name="_Hlk40364203"/>
            <w:bookmarkEnd w:id="6"/>
            <w:r w:rsidRPr="00A15812">
              <w:rPr>
                <w:rFonts w:ascii="Times New Roman" w:hAnsi="Times New Roman"/>
                <w:sz w:val="24"/>
                <w:szCs w:val="24"/>
                <w:lang w:val="lv-LV"/>
              </w:rPr>
              <w:t xml:space="preserve"> gala termiņš projekt</w:t>
            </w:r>
            <w:r w:rsidR="00A15812">
              <w:rPr>
                <w:rFonts w:ascii="Times New Roman" w:hAnsi="Times New Roman"/>
                <w:sz w:val="24"/>
                <w:szCs w:val="24"/>
                <w:lang w:val="lv-LV"/>
              </w:rPr>
              <w:t>u</w:t>
            </w:r>
            <w:r w:rsidRPr="00A15812">
              <w:rPr>
                <w:rFonts w:ascii="Times New Roman" w:hAnsi="Times New Roman"/>
                <w:sz w:val="24"/>
                <w:szCs w:val="24"/>
                <w:lang w:val="lv-LV"/>
              </w:rPr>
              <w:t xml:space="preserve"> īstenošanai ir grozāms.  </w:t>
            </w:r>
            <w:r w:rsidR="00A15812" w:rsidRPr="00A15812">
              <w:rPr>
                <w:rFonts w:ascii="Times New Roman" w:hAnsi="Times New Roman"/>
                <w:sz w:val="24"/>
                <w:szCs w:val="24"/>
                <w:lang w:val="lv-LV"/>
              </w:rPr>
              <w:t xml:space="preserve"> Projekt</w:t>
            </w:r>
            <w:r w:rsidR="00A15812">
              <w:rPr>
                <w:rFonts w:ascii="Times New Roman" w:hAnsi="Times New Roman"/>
                <w:sz w:val="24"/>
                <w:szCs w:val="24"/>
                <w:lang w:val="lv-LV"/>
              </w:rPr>
              <w:t>u</w:t>
            </w:r>
            <w:r w:rsidR="00A15812" w:rsidRPr="00A15812">
              <w:rPr>
                <w:rFonts w:ascii="Times New Roman" w:hAnsi="Times New Roman"/>
                <w:sz w:val="24"/>
                <w:szCs w:val="24"/>
                <w:lang w:val="lv-LV"/>
              </w:rPr>
              <w:t xml:space="preserve"> īstenošanas termiņš ir saistīts ar projekt</w:t>
            </w:r>
            <w:r w:rsidR="00A15812">
              <w:rPr>
                <w:rFonts w:ascii="Times New Roman" w:hAnsi="Times New Roman"/>
                <w:sz w:val="24"/>
                <w:szCs w:val="24"/>
                <w:lang w:val="lv-LV"/>
              </w:rPr>
              <w:t xml:space="preserve">os </w:t>
            </w:r>
            <w:r w:rsidR="00A15812" w:rsidRPr="00A15812">
              <w:rPr>
                <w:rFonts w:ascii="Times New Roman" w:hAnsi="Times New Roman"/>
                <w:sz w:val="24"/>
                <w:szCs w:val="24"/>
                <w:lang w:val="lv-LV"/>
              </w:rPr>
              <w:t>izvirzīto mērķu un rādītāju sasniegšanu – projektu</w:t>
            </w:r>
            <w:r w:rsidR="00A15812">
              <w:rPr>
                <w:rFonts w:ascii="Times New Roman" w:hAnsi="Times New Roman"/>
                <w:sz w:val="24"/>
                <w:szCs w:val="24"/>
                <w:lang w:val="lv-LV"/>
              </w:rPr>
              <w:t xml:space="preserve">s </w:t>
            </w:r>
            <w:r w:rsidR="00A15812" w:rsidRPr="00A15812">
              <w:rPr>
                <w:rFonts w:ascii="Times New Roman" w:hAnsi="Times New Roman"/>
                <w:sz w:val="24"/>
                <w:szCs w:val="24"/>
                <w:lang w:val="lv-LV"/>
              </w:rPr>
              <w:t>varēs īstenot noteikt</w:t>
            </w:r>
            <w:r w:rsidR="00A15812">
              <w:rPr>
                <w:rFonts w:ascii="Times New Roman" w:hAnsi="Times New Roman"/>
                <w:sz w:val="24"/>
                <w:szCs w:val="24"/>
                <w:lang w:val="lv-LV"/>
              </w:rPr>
              <w:t>ajos</w:t>
            </w:r>
            <w:r w:rsidR="00A15812" w:rsidRPr="00A15812">
              <w:rPr>
                <w:rFonts w:ascii="Times New Roman" w:hAnsi="Times New Roman"/>
                <w:sz w:val="24"/>
                <w:szCs w:val="24"/>
                <w:lang w:val="lv-LV"/>
              </w:rPr>
              <w:t xml:space="preserve"> termiņ</w:t>
            </w:r>
            <w:r w:rsidR="00A15812">
              <w:rPr>
                <w:rFonts w:ascii="Times New Roman" w:hAnsi="Times New Roman"/>
                <w:sz w:val="24"/>
                <w:szCs w:val="24"/>
                <w:lang w:val="lv-LV"/>
              </w:rPr>
              <w:t>os un</w:t>
            </w:r>
            <w:r w:rsidR="00A15812" w:rsidRPr="00A15812">
              <w:rPr>
                <w:rFonts w:ascii="Times New Roman" w:hAnsi="Times New Roman"/>
                <w:sz w:val="24"/>
                <w:szCs w:val="24"/>
                <w:lang w:val="lv-LV"/>
              </w:rPr>
              <w:t xml:space="preserve"> projekt</w:t>
            </w:r>
            <w:r w:rsidR="00A15812">
              <w:rPr>
                <w:rFonts w:ascii="Times New Roman" w:hAnsi="Times New Roman"/>
                <w:sz w:val="24"/>
                <w:szCs w:val="24"/>
                <w:lang w:val="lv-LV"/>
              </w:rPr>
              <w:t>u</w:t>
            </w:r>
            <w:r w:rsidR="00A15812" w:rsidRPr="00A15812">
              <w:rPr>
                <w:rFonts w:ascii="Times New Roman" w:hAnsi="Times New Roman"/>
                <w:sz w:val="24"/>
                <w:szCs w:val="24"/>
                <w:lang w:val="lv-LV"/>
              </w:rPr>
              <w:t xml:space="preserve"> mērķi </w:t>
            </w:r>
            <w:r w:rsidR="00A15812">
              <w:rPr>
                <w:rFonts w:ascii="Times New Roman" w:hAnsi="Times New Roman"/>
                <w:sz w:val="24"/>
                <w:szCs w:val="24"/>
                <w:lang w:val="lv-LV"/>
              </w:rPr>
              <w:t xml:space="preserve">tiks </w:t>
            </w:r>
            <w:r w:rsidR="00A15812" w:rsidRPr="00A15812">
              <w:rPr>
                <w:rFonts w:ascii="Times New Roman" w:hAnsi="Times New Roman"/>
                <w:sz w:val="24"/>
                <w:szCs w:val="24"/>
                <w:lang w:val="lv-LV"/>
              </w:rPr>
              <w:t xml:space="preserve">sasniegti. </w:t>
            </w:r>
          </w:p>
          <w:p w14:paraId="5375453C" w14:textId="7A38BFC0" w:rsidR="00D400C4" w:rsidRDefault="00FA50C8" w:rsidP="00566A2A">
            <w:pPr>
              <w:jc w:val="both"/>
              <w:rPr>
                <w:rFonts w:ascii="Times New Roman" w:hAnsi="Times New Roman"/>
                <w:sz w:val="24"/>
                <w:szCs w:val="24"/>
                <w:lang w:val="lv-LV"/>
              </w:rPr>
            </w:pPr>
            <w:r w:rsidRPr="00FA50C8">
              <w:rPr>
                <w:rFonts w:ascii="Times New Roman" w:hAnsi="Times New Roman"/>
                <w:sz w:val="24"/>
                <w:szCs w:val="24"/>
                <w:lang w:val="lv-LV"/>
              </w:rPr>
              <w:t>F</w:t>
            </w:r>
            <w:r w:rsidRPr="004C616F">
              <w:rPr>
                <w:rFonts w:ascii="Times New Roman" w:hAnsi="Times New Roman"/>
                <w:sz w:val="24"/>
                <w:szCs w:val="24"/>
                <w:lang w:val="lv-LV"/>
              </w:rPr>
              <w:t>inansējuma saņēmēji projekta gaitā varētu elastīgāk vadīt iespējamos neparedzamos riskus.</w:t>
            </w:r>
            <w:r w:rsidRPr="003B4400">
              <w:rPr>
                <w:rFonts w:ascii="Times New Roman" w:hAnsi="Times New Roman"/>
                <w:sz w:val="24"/>
                <w:szCs w:val="24"/>
                <w:lang w:val="lv-LV"/>
              </w:rPr>
              <w:t xml:space="preserve">  </w:t>
            </w:r>
          </w:p>
          <w:p w14:paraId="2058A015" w14:textId="2CE2DDD2" w:rsidR="007F02E1" w:rsidRPr="003B4400" w:rsidRDefault="00D400C4" w:rsidP="00566A2A">
            <w:pPr>
              <w:jc w:val="both"/>
              <w:rPr>
                <w:rFonts w:ascii="Times New Roman" w:hAnsi="Times New Roman"/>
                <w:sz w:val="24"/>
                <w:szCs w:val="24"/>
                <w:lang w:val="lv-LV"/>
              </w:rPr>
            </w:pPr>
            <w:r w:rsidRPr="00D400C4">
              <w:rPr>
                <w:rFonts w:ascii="Times New Roman" w:hAnsi="Times New Roman"/>
                <w:sz w:val="24"/>
                <w:szCs w:val="24"/>
                <w:lang w:val="lv-LV"/>
              </w:rPr>
              <w:t>Grozījumi Regulas Nr.1303/2013 71.panta izpratnē atstās pozitīvu ietekmi uz īstenošanā esošajiem projektiem. Piemēram, iespēju pagarināt projektu īstenošanas termiņu un bez sankcijām pabeigt projektus.</w:t>
            </w:r>
            <w:bookmarkEnd w:id="7"/>
          </w:p>
          <w:p w14:paraId="03592039" w14:textId="4F2EB049" w:rsidR="00C775BC" w:rsidRDefault="00106E1D" w:rsidP="00566A2A">
            <w:pPr>
              <w:jc w:val="both"/>
              <w:rPr>
                <w:rFonts w:ascii="Times New Roman" w:hAnsi="Times New Roman"/>
                <w:sz w:val="24"/>
                <w:szCs w:val="24"/>
                <w:lang w:val="lv-LV"/>
              </w:rPr>
            </w:pPr>
            <w:r>
              <w:rPr>
                <w:rFonts w:ascii="Times New Roman" w:hAnsi="Times New Roman"/>
                <w:sz w:val="24"/>
                <w:szCs w:val="24"/>
                <w:lang w:val="lv-LV"/>
              </w:rPr>
              <w:t xml:space="preserve">             </w:t>
            </w:r>
            <w:r w:rsidR="00F8024A" w:rsidRPr="003B4400">
              <w:rPr>
                <w:rFonts w:ascii="Times New Roman" w:hAnsi="Times New Roman"/>
                <w:sz w:val="24"/>
                <w:szCs w:val="24"/>
                <w:lang w:val="lv-LV"/>
              </w:rPr>
              <w:t xml:space="preserve">2) </w:t>
            </w:r>
            <w:r w:rsidR="00C775BC" w:rsidRPr="003B4400">
              <w:rPr>
                <w:rFonts w:ascii="Times New Roman" w:hAnsi="Times New Roman"/>
                <w:sz w:val="24"/>
                <w:szCs w:val="24"/>
                <w:lang w:val="lv-LV"/>
              </w:rPr>
              <w:t>Balstoties uz noteikumu 40. punkta (turpmāk – 40. punkts) spēkā esošo redakciju: "</w:t>
            </w:r>
            <w:r w:rsidR="00C775BC" w:rsidRPr="003B4400">
              <w:rPr>
                <w:rFonts w:ascii="Times New Roman" w:hAnsi="Times New Roman"/>
                <w:i/>
                <w:iCs/>
                <w:sz w:val="24"/>
                <w:szCs w:val="24"/>
                <w:lang w:val="lv-LV"/>
              </w:rPr>
              <w:t xml:space="preserve">40. </w:t>
            </w:r>
            <w:r w:rsidR="00C775BC" w:rsidRPr="003B4400">
              <w:rPr>
                <w:rFonts w:ascii="Times New Roman" w:hAnsi="Times New Roman"/>
                <w:sz w:val="24"/>
                <w:szCs w:val="24"/>
                <w:shd w:val="clear" w:color="auto" w:fill="FFFFFF"/>
                <w:lang w:val="lv-LV"/>
              </w:rPr>
              <w:t>Ja projekta īstenošanas laikā rodas neattiecināmie izdevumi vai sadārdzinās projekta izmaksas, finansējuma saņēmējs apņemas tās segt no paša rīcībā esošajiem līdzekļiem, kas nav saistīti ar publisku atbalstu</w:t>
            </w:r>
            <w:r w:rsidR="00C775BC" w:rsidRPr="003B4400">
              <w:rPr>
                <w:rFonts w:ascii="Times New Roman" w:hAnsi="Times New Roman"/>
                <w:sz w:val="24"/>
                <w:szCs w:val="24"/>
                <w:lang w:val="lv-LV"/>
              </w:rPr>
              <w:t>", ir atteikts pašvaldību galvojums aizdevumu piešķiršanai Valsts kasē neattiecināmo izmaksu segšanai īstenošanā esošam SIA “Ķeguma stars”</w:t>
            </w:r>
            <w:r w:rsidR="00A15613">
              <w:rPr>
                <w:rFonts w:ascii="Times New Roman" w:hAnsi="Times New Roman"/>
                <w:sz w:val="24"/>
                <w:szCs w:val="24"/>
                <w:lang w:val="lv-LV"/>
              </w:rPr>
              <w:t xml:space="preserve"> </w:t>
            </w:r>
            <w:r w:rsidR="00C775BC" w:rsidRPr="003B4400">
              <w:rPr>
                <w:rFonts w:ascii="Times New Roman" w:hAnsi="Times New Roman"/>
                <w:sz w:val="24"/>
                <w:szCs w:val="24"/>
                <w:lang w:val="lv-LV"/>
              </w:rPr>
              <w:t xml:space="preserve"> projektam Nr. 4.3.1.0/18/A/015.</w:t>
            </w:r>
          </w:p>
          <w:p w14:paraId="23EDB248" w14:textId="18DD0877" w:rsidR="00D03418" w:rsidRPr="003B4400" w:rsidRDefault="00D03418" w:rsidP="00566A2A">
            <w:pPr>
              <w:jc w:val="both"/>
              <w:rPr>
                <w:rFonts w:ascii="Times New Roman" w:hAnsi="Times New Roman"/>
                <w:sz w:val="24"/>
                <w:szCs w:val="24"/>
                <w:lang w:val="lv-LV"/>
              </w:rPr>
            </w:pPr>
            <w:r w:rsidRPr="003B4400">
              <w:rPr>
                <w:rFonts w:ascii="Times New Roman" w:hAnsi="Times New Roman"/>
                <w:sz w:val="24"/>
                <w:szCs w:val="24"/>
                <w:lang w:val="lv-LV"/>
              </w:rPr>
              <w:t xml:space="preserve">Neattiecināmās izmaksas ir </w:t>
            </w:r>
            <w:r w:rsidR="00172DB8" w:rsidRPr="003B4400">
              <w:rPr>
                <w:rFonts w:ascii="Times New Roman" w:hAnsi="Times New Roman"/>
                <w:sz w:val="24"/>
                <w:szCs w:val="24"/>
                <w:lang w:val="lv-LV"/>
              </w:rPr>
              <w:t xml:space="preserve"> SIA “Ķeguma stars”</w:t>
            </w:r>
            <w:r w:rsidR="00172DB8">
              <w:rPr>
                <w:rFonts w:ascii="Times New Roman" w:hAnsi="Times New Roman"/>
                <w:sz w:val="24"/>
                <w:szCs w:val="24"/>
                <w:lang w:val="lv-LV"/>
              </w:rPr>
              <w:t xml:space="preserve"> </w:t>
            </w:r>
            <w:r w:rsidR="00172DB8" w:rsidRPr="003B4400">
              <w:rPr>
                <w:rFonts w:ascii="Times New Roman" w:hAnsi="Times New Roman"/>
                <w:sz w:val="24"/>
                <w:szCs w:val="24"/>
                <w:lang w:val="lv-LV"/>
              </w:rPr>
              <w:t xml:space="preserve"> </w:t>
            </w:r>
            <w:r w:rsidRPr="003B4400">
              <w:rPr>
                <w:rFonts w:ascii="Times New Roman" w:hAnsi="Times New Roman"/>
                <w:sz w:val="24"/>
                <w:szCs w:val="24"/>
                <w:lang w:val="lv-LV"/>
              </w:rPr>
              <w:t>būtiska izmaksu daļa, lai varētu veiksmīgi realizēt projektu un tās sastāv no:</w:t>
            </w:r>
          </w:p>
          <w:p w14:paraId="0CE425B8" w14:textId="77777777" w:rsidR="00E300D0" w:rsidRDefault="00E300D0" w:rsidP="00566A2A">
            <w:pPr>
              <w:jc w:val="both"/>
              <w:rPr>
                <w:rFonts w:ascii="Times New Roman" w:hAnsi="Times New Roman"/>
                <w:sz w:val="24"/>
                <w:szCs w:val="24"/>
                <w:lang w:val="lv-LV"/>
              </w:rPr>
            </w:pPr>
            <w:r w:rsidRPr="00E300D0">
              <w:rPr>
                <w:rFonts w:ascii="Times New Roman" w:hAnsi="Times New Roman"/>
                <w:sz w:val="24"/>
                <w:szCs w:val="24"/>
                <w:lang w:val="lv-LV"/>
              </w:rPr>
              <w:t xml:space="preserve">Projekta kopējās izmaksas sastāda </w:t>
            </w:r>
            <w:r w:rsidRPr="00E300D0">
              <w:rPr>
                <w:rFonts w:ascii="Times New Roman" w:hAnsi="Times New Roman"/>
                <w:bCs/>
                <w:sz w:val="24"/>
                <w:szCs w:val="24"/>
                <w:lang w:val="lv-LV"/>
              </w:rPr>
              <w:t xml:space="preserve">463 609,00 </w:t>
            </w:r>
            <w:proofErr w:type="spellStart"/>
            <w:r w:rsidRPr="00E300D0">
              <w:rPr>
                <w:rFonts w:ascii="Times New Roman" w:hAnsi="Times New Roman"/>
                <w:bCs/>
                <w:i/>
                <w:sz w:val="24"/>
                <w:szCs w:val="24"/>
                <w:lang w:val="lv-LV"/>
              </w:rPr>
              <w:t>euro</w:t>
            </w:r>
            <w:proofErr w:type="spellEnd"/>
            <w:r w:rsidRPr="00E300D0">
              <w:rPr>
                <w:rFonts w:ascii="Times New Roman" w:hAnsi="Times New Roman"/>
                <w:sz w:val="24"/>
                <w:szCs w:val="24"/>
                <w:lang w:val="lv-LV"/>
              </w:rPr>
              <w:t xml:space="preserve">, no kurām neattiecināmās izmaksas sastāda </w:t>
            </w:r>
            <w:r w:rsidRPr="00E300D0">
              <w:rPr>
                <w:rFonts w:ascii="Times New Roman" w:hAnsi="Times New Roman"/>
                <w:bCs/>
                <w:sz w:val="24"/>
                <w:szCs w:val="24"/>
                <w:lang w:val="lv-LV"/>
              </w:rPr>
              <w:t xml:space="preserve">80 409,00 </w:t>
            </w:r>
            <w:proofErr w:type="spellStart"/>
            <w:r w:rsidRPr="00E300D0">
              <w:rPr>
                <w:rFonts w:ascii="Times New Roman" w:hAnsi="Times New Roman"/>
                <w:bCs/>
                <w:i/>
                <w:sz w:val="24"/>
                <w:szCs w:val="24"/>
                <w:lang w:val="lv-LV"/>
              </w:rPr>
              <w:t>euro</w:t>
            </w:r>
            <w:proofErr w:type="spellEnd"/>
            <w:r w:rsidRPr="00E300D0">
              <w:rPr>
                <w:rFonts w:ascii="Times New Roman" w:hAnsi="Times New Roman"/>
                <w:bCs/>
                <w:sz w:val="24"/>
                <w:szCs w:val="24"/>
                <w:lang w:val="lv-LV"/>
              </w:rPr>
              <w:t xml:space="preserve">, </w:t>
            </w:r>
            <w:r w:rsidRPr="00E300D0">
              <w:rPr>
                <w:rFonts w:ascii="Times New Roman" w:hAnsi="Times New Roman"/>
                <w:sz w:val="24"/>
                <w:szCs w:val="24"/>
                <w:lang w:val="lv-LV"/>
              </w:rPr>
              <w:t xml:space="preserve">kopējās attiecināmās izmaksas sastāda </w:t>
            </w:r>
            <w:r w:rsidRPr="00E300D0">
              <w:rPr>
                <w:rFonts w:ascii="Times New Roman" w:hAnsi="Times New Roman"/>
                <w:bCs/>
                <w:sz w:val="24"/>
                <w:szCs w:val="24"/>
                <w:lang w:val="lv-LV"/>
              </w:rPr>
              <w:t>383 200,00</w:t>
            </w:r>
            <w:r w:rsidRPr="00E300D0">
              <w:rPr>
                <w:rFonts w:ascii="Times New Roman" w:hAnsi="Times New Roman"/>
                <w:sz w:val="24"/>
                <w:szCs w:val="24"/>
                <w:lang w:val="lv-LV"/>
              </w:rPr>
              <w:t xml:space="preserve"> </w:t>
            </w:r>
            <w:proofErr w:type="spellStart"/>
            <w:r w:rsidRPr="00E300D0">
              <w:rPr>
                <w:rFonts w:ascii="Times New Roman" w:hAnsi="Times New Roman"/>
                <w:bCs/>
                <w:i/>
                <w:sz w:val="24"/>
                <w:szCs w:val="24"/>
                <w:lang w:val="lv-LV"/>
              </w:rPr>
              <w:t>euro</w:t>
            </w:r>
            <w:proofErr w:type="spellEnd"/>
            <w:r w:rsidRPr="00E300D0">
              <w:rPr>
                <w:rFonts w:ascii="Times New Roman" w:hAnsi="Times New Roman"/>
                <w:sz w:val="24"/>
                <w:szCs w:val="24"/>
                <w:lang w:val="lv-LV"/>
              </w:rPr>
              <w:t xml:space="preserve">, t.sk. Kohēzijas fonda finansējums </w:t>
            </w:r>
            <w:r w:rsidRPr="00E300D0">
              <w:rPr>
                <w:rFonts w:ascii="Times New Roman" w:hAnsi="Times New Roman"/>
                <w:bCs/>
                <w:sz w:val="24"/>
                <w:szCs w:val="24"/>
                <w:lang w:val="lv-LV"/>
              </w:rPr>
              <w:t>153 280,00</w:t>
            </w:r>
            <w:r w:rsidRPr="00E300D0">
              <w:rPr>
                <w:rFonts w:ascii="Times New Roman" w:hAnsi="Times New Roman"/>
                <w:sz w:val="24"/>
                <w:szCs w:val="24"/>
                <w:lang w:val="lv-LV"/>
              </w:rPr>
              <w:t xml:space="preserve"> </w:t>
            </w:r>
            <w:proofErr w:type="spellStart"/>
            <w:r w:rsidRPr="00E300D0">
              <w:rPr>
                <w:rFonts w:ascii="Times New Roman" w:hAnsi="Times New Roman"/>
                <w:bCs/>
                <w:i/>
                <w:sz w:val="24"/>
                <w:szCs w:val="24"/>
                <w:lang w:val="lv-LV"/>
              </w:rPr>
              <w:t>euro</w:t>
            </w:r>
            <w:proofErr w:type="spellEnd"/>
            <w:r w:rsidRPr="00E300D0">
              <w:rPr>
                <w:rFonts w:ascii="Times New Roman" w:hAnsi="Times New Roman"/>
                <w:bCs/>
                <w:i/>
                <w:sz w:val="24"/>
                <w:szCs w:val="24"/>
                <w:lang w:val="lv-LV"/>
              </w:rPr>
              <w:t xml:space="preserve"> </w:t>
            </w:r>
            <w:r w:rsidRPr="00E300D0">
              <w:rPr>
                <w:rFonts w:ascii="Times New Roman" w:hAnsi="Times New Roman"/>
                <w:bCs/>
                <w:sz w:val="24"/>
                <w:szCs w:val="24"/>
                <w:lang w:val="lv-LV"/>
              </w:rPr>
              <w:t>apmērā</w:t>
            </w:r>
            <w:r w:rsidRPr="00E300D0">
              <w:rPr>
                <w:rFonts w:ascii="Times New Roman" w:hAnsi="Times New Roman"/>
                <w:sz w:val="24"/>
                <w:szCs w:val="24"/>
                <w:lang w:val="lv-LV"/>
              </w:rPr>
              <w:t>. Katla jauda projektā ir paredzēta 0,8 MW, par kuru neattiecināmā daļā ir jāiekļauj 16 800 </w:t>
            </w:r>
            <w:proofErr w:type="spellStart"/>
            <w:r w:rsidRPr="00E300D0">
              <w:rPr>
                <w:rFonts w:ascii="Times New Roman" w:hAnsi="Times New Roman"/>
                <w:bCs/>
                <w:i/>
                <w:sz w:val="24"/>
                <w:szCs w:val="24"/>
                <w:lang w:val="lv-LV"/>
              </w:rPr>
              <w:t>euro</w:t>
            </w:r>
            <w:proofErr w:type="spellEnd"/>
            <w:r w:rsidRPr="00E300D0">
              <w:rPr>
                <w:rFonts w:ascii="Times New Roman" w:hAnsi="Times New Roman"/>
                <w:sz w:val="24"/>
                <w:szCs w:val="24"/>
                <w:lang w:val="lv-LV"/>
              </w:rPr>
              <w:t xml:space="preserve"> (par katru 1 MW neattiecināmas izmaksas ir 21 000 </w:t>
            </w:r>
            <w:proofErr w:type="spellStart"/>
            <w:r w:rsidRPr="00E300D0">
              <w:rPr>
                <w:rFonts w:ascii="Times New Roman" w:hAnsi="Times New Roman"/>
                <w:bCs/>
                <w:i/>
                <w:sz w:val="24"/>
                <w:szCs w:val="24"/>
                <w:lang w:val="lv-LV"/>
              </w:rPr>
              <w:t>euro</w:t>
            </w:r>
            <w:proofErr w:type="spellEnd"/>
            <w:r w:rsidRPr="00E300D0">
              <w:rPr>
                <w:rFonts w:ascii="Times New Roman" w:hAnsi="Times New Roman"/>
                <w:sz w:val="24"/>
                <w:szCs w:val="24"/>
                <w:lang w:val="lv-LV"/>
              </w:rPr>
              <w:t xml:space="preserve"> apmērā). </w:t>
            </w:r>
            <w:r w:rsidRPr="00127570">
              <w:rPr>
                <w:rFonts w:ascii="Times New Roman" w:hAnsi="Times New Roman"/>
                <w:sz w:val="24"/>
                <w:szCs w:val="24"/>
                <w:lang w:val="lv-LV"/>
              </w:rPr>
              <w:t xml:space="preserve">Te jānorāda, ka iepirkuma procedūra tika vairākas reizes pārtraukta un atkārtoti izsludināta, jo piedāvātās līgumsummas </w:t>
            </w:r>
            <w:r w:rsidRPr="00127570">
              <w:rPr>
                <w:rFonts w:ascii="Times New Roman" w:hAnsi="Times New Roman"/>
                <w:sz w:val="24"/>
                <w:szCs w:val="24"/>
                <w:lang w:val="lv-LV"/>
              </w:rPr>
              <w:lastRenderedPageBreak/>
              <w:t xml:space="preserve">ievērojami pārsniedza pasūtītāja iespējas. Līdz tika novienkāršots tehniskais risinājums un SIA “Ķeguma stars” izvēlējās iespējami optimālāko piedāvājumu ar ko noslēgts līgums. </w:t>
            </w:r>
          </w:p>
          <w:p w14:paraId="3F0C1E6D" w14:textId="46A6ED23" w:rsidR="00C775BC" w:rsidRPr="003B4400" w:rsidRDefault="00C775BC" w:rsidP="00566A2A">
            <w:pPr>
              <w:jc w:val="both"/>
              <w:rPr>
                <w:rFonts w:ascii="Times New Roman" w:hAnsi="Times New Roman"/>
                <w:sz w:val="24"/>
                <w:szCs w:val="24"/>
                <w:lang w:val="lv-LV"/>
              </w:rPr>
            </w:pPr>
            <w:r w:rsidRPr="003B4400">
              <w:rPr>
                <w:rFonts w:ascii="Times New Roman" w:hAnsi="Times New Roman"/>
                <w:sz w:val="24"/>
                <w:szCs w:val="24"/>
                <w:lang w:val="lv-LV"/>
              </w:rPr>
              <w:t>PVN sadaļa tiek segta no pašu līdzekļiem.</w:t>
            </w:r>
          </w:p>
          <w:p w14:paraId="4EF80567" w14:textId="1872408F" w:rsidR="00C775BC" w:rsidRPr="003B4400" w:rsidRDefault="00C775BC" w:rsidP="00566A2A">
            <w:pPr>
              <w:jc w:val="both"/>
              <w:rPr>
                <w:rFonts w:ascii="Times New Roman" w:eastAsiaTheme="minorHAnsi" w:hAnsi="Times New Roman"/>
                <w:sz w:val="24"/>
                <w:szCs w:val="24"/>
                <w:lang w:val="lv-LV"/>
              </w:rPr>
            </w:pPr>
            <w:r w:rsidRPr="003B4400">
              <w:rPr>
                <w:rFonts w:ascii="Times New Roman" w:hAnsi="Times New Roman"/>
                <w:sz w:val="24"/>
                <w:szCs w:val="24"/>
                <w:lang w:val="lv-LV"/>
              </w:rPr>
              <w:t>Kā redzams no iepriekš minētā, bez šīm iz</w:t>
            </w:r>
            <w:r w:rsidR="002D2020">
              <w:rPr>
                <w:rFonts w:ascii="Times New Roman" w:hAnsi="Times New Roman"/>
                <w:sz w:val="24"/>
                <w:szCs w:val="24"/>
                <w:lang w:val="lv-LV"/>
              </w:rPr>
              <w:t>m</w:t>
            </w:r>
            <w:r w:rsidRPr="003B4400">
              <w:rPr>
                <w:rFonts w:ascii="Times New Roman" w:hAnsi="Times New Roman"/>
                <w:sz w:val="24"/>
                <w:szCs w:val="24"/>
                <w:lang w:val="lv-LV"/>
              </w:rPr>
              <w:t xml:space="preserve">aksām </w:t>
            </w:r>
            <w:r w:rsidR="002D2020" w:rsidRPr="003B4400">
              <w:rPr>
                <w:rFonts w:ascii="Times New Roman" w:hAnsi="Times New Roman"/>
                <w:sz w:val="24"/>
                <w:szCs w:val="24"/>
                <w:lang w:val="lv-LV"/>
              </w:rPr>
              <w:t xml:space="preserve"> SIA “Ķeguma stars”</w:t>
            </w:r>
            <w:r w:rsidR="002D2020">
              <w:rPr>
                <w:rFonts w:ascii="Times New Roman" w:hAnsi="Times New Roman"/>
                <w:sz w:val="24"/>
                <w:szCs w:val="24"/>
                <w:lang w:val="lv-LV"/>
              </w:rPr>
              <w:t xml:space="preserve"> </w:t>
            </w:r>
            <w:r w:rsidR="002D2020" w:rsidRPr="003B4400">
              <w:rPr>
                <w:rFonts w:ascii="Times New Roman" w:hAnsi="Times New Roman"/>
                <w:sz w:val="24"/>
                <w:szCs w:val="24"/>
                <w:lang w:val="lv-LV"/>
              </w:rPr>
              <w:t xml:space="preserve"> </w:t>
            </w:r>
            <w:r w:rsidRPr="003B4400">
              <w:rPr>
                <w:rFonts w:ascii="Times New Roman" w:hAnsi="Times New Roman"/>
                <w:sz w:val="24"/>
                <w:szCs w:val="24"/>
                <w:lang w:val="lv-LV"/>
              </w:rPr>
              <w:t xml:space="preserve"> nav iespējams šo projektu realizēt.</w:t>
            </w:r>
          </w:p>
          <w:p w14:paraId="1BF4170A" w14:textId="3DEF2E95" w:rsidR="00C775BC" w:rsidRPr="003B4400" w:rsidRDefault="00C775BC" w:rsidP="00566A2A">
            <w:pPr>
              <w:jc w:val="both"/>
              <w:rPr>
                <w:rFonts w:ascii="Times New Roman" w:hAnsi="Times New Roman"/>
                <w:sz w:val="24"/>
                <w:szCs w:val="24"/>
                <w:lang w:val="lv-LV"/>
              </w:rPr>
            </w:pPr>
            <w:r w:rsidRPr="003B4400">
              <w:rPr>
                <w:rFonts w:ascii="Times New Roman" w:hAnsi="Times New Roman"/>
                <w:sz w:val="24"/>
                <w:szCs w:val="24"/>
                <w:lang w:val="lv-LV"/>
              </w:rPr>
              <w:t xml:space="preserve">Šobrīd līguma izpildes darbi ar būvnieku strauji tuvojas fāzei, kad būs nepieciešams apmaksāt nākamo būvnieka rēķinu un </w:t>
            </w:r>
            <w:r w:rsidR="002D2020" w:rsidRPr="003B4400">
              <w:rPr>
                <w:rFonts w:ascii="Times New Roman" w:hAnsi="Times New Roman"/>
                <w:sz w:val="24"/>
                <w:szCs w:val="24"/>
                <w:lang w:val="lv-LV"/>
              </w:rPr>
              <w:t xml:space="preserve"> SIA “Ķeguma stars”</w:t>
            </w:r>
            <w:r w:rsidR="002D2020">
              <w:rPr>
                <w:rFonts w:ascii="Times New Roman" w:hAnsi="Times New Roman"/>
                <w:sz w:val="24"/>
                <w:szCs w:val="24"/>
                <w:lang w:val="lv-LV"/>
              </w:rPr>
              <w:t xml:space="preserve"> </w:t>
            </w:r>
            <w:r w:rsidR="002D2020" w:rsidRPr="003B4400">
              <w:rPr>
                <w:rFonts w:ascii="Times New Roman" w:hAnsi="Times New Roman"/>
                <w:sz w:val="24"/>
                <w:szCs w:val="24"/>
                <w:lang w:val="lv-LV"/>
              </w:rPr>
              <w:t xml:space="preserve"> </w:t>
            </w:r>
            <w:r w:rsidRPr="003B4400">
              <w:rPr>
                <w:rFonts w:ascii="Times New Roman" w:hAnsi="Times New Roman"/>
                <w:sz w:val="24"/>
                <w:szCs w:val="24"/>
                <w:lang w:val="lv-LV"/>
              </w:rPr>
              <w:t xml:space="preserve">būtu pēc iespējas ātrāk jānoslēdz aizdevuma līgums. Visas nepieciešamās formalitātes un dokumenti ir sakārtoti, lai šo aizdevumu varētu saņemt no Valsts kases, un līdz ar to, neuzliktu  pārlieku lielu maksājamo % slogu. </w:t>
            </w:r>
          </w:p>
          <w:p w14:paraId="7E248D35" w14:textId="498E754F" w:rsidR="00C775BC" w:rsidRPr="003B4400" w:rsidRDefault="00C775BC" w:rsidP="00566A2A">
            <w:pPr>
              <w:jc w:val="both"/>
              <w:rPr>
                <w:rFonts w:ascii="Times New Roman" w:hAnsi="Times New Roman"/>
                <w:sz w:val="24"/>
                <w:szCs w:val="24"/>
                <w:lang w:val="lv-LV"/>
              </w:rPr>
            </w:pPr>
            <w:r w:rsidRPr="003B4400">
              <w:rPr>
                <w:rFonts w:ascii="Times New Roman" w:hAnsi="Times New Roman"/>
                <w:sz w:val="24"/>
                <w:szCs w:val="24"/>
                <w:lang w:val="lv-LV"/>
              </w:rPr>
              <w:t xml:space="preserve">Svarīgi ņemt vērā, ka </w:t>
            </w:r>
            <w:r w:rsidR="002D2020" w:rsidRPr="003B4400">
              <w:rPr>
                <w:rFonts w:ascii="Times New Roman" w:hAnsi="Times New Roman"/>
                <w:sz w:val="24"/>
                <w:szCs w:val="24"/>
                <w:lang w:val="lv-LV"/>
              </w:rPr>
              <w:t xml:space="preserve"> SIA “Ķeguma stars”</w:t>
            </w:r>
            <w:r w:rsidR="002D2020">
              <w:rPr>
                <w:rFonts w:ascii="Times New Roman" w:hAnsi="Times New Roman"/>
                <w:sz w:val="24"/>
                <w:szCs w:val="24"/>
                <w:lang w:val="lv-LV"/>
              </w:rPr>
              <w:t xml:space="preserve">  </w:t>
            </w:r>
            <w:r w:rsidRPr="003B4400">
              <w:rPr>
                <w:rFonts w:ascii="Times New Roman" w:hAnsi="Times New Roman"/>
                <w:sz w:val="24"/>
                <w:szCs w:val="24"/>
                <w:lang w:val="lv-LV"/>
              </w:rPr>
              <w:t>atzīstams par centralizētās siltumapgādes pakalpojuma sniedzēju, kuram uzticēts sniegt pakalpojumus ar vispārējo tautsaimniecības nozīmi (turpmāk - VTNP).</w:t>
            </w:r>
          </w:p>
          <w:p w14:paraId="5B4A1B65" w14:textId="4738440E" w:rsidR="00C775BC" w:rsidRPr="003B4400" w:rsidRDefault="00C775BC" w:rsidP="00566A2A">
            <w:pPr>
              <w:jc w:val="both"/>
              <w:rPr>
                <w:rFonts w:ascii="Times New Roman" w:eastAsiaTheme="minorHAnsi" w:hAnsi="Times New Roman"/>
                <w:sz w:val="24"/>
                <w:szCs w:val="24"/>
                <w:lang w:val="lv-LV"/>
              </w:rPr>
            </w:pPr>
            <w:r w:rsidRPr="003B4400">
              <w:rPr>
                <w:rFonts w:ascii="Times New Roman" w:hAnsi="Times New Roman"/>
                <w:sz w:val="24"/>
                <w:szCs w:val="24"/>
                <w:lang w:val="lv-LV"/>
              </w:rPr>
              <w:t xml:space="preserve">Papildus norādāms, ka, ņemot vērā centralizētās siltumapgādes uzņēmumu svarīgo lomu Latvijas klimatiskos apstākļos, Ekonomikas ministrijas ieskatā projekts uzskatāms par īpašas nozīmes tautsaimniecības projektu, kura īstenošana ir kritiski svarīga iedzīvotāju pamatvajadzību nodrošināšanai, tādēļ nepieciešams rast iespēju piešķirt aizdevumus VTNP </w:t>
            </w:r>
            <w:r w:rsidR="00A15613">
              <w:rPr>
                <w:rFonts w:ascii="Times New Roman" w:hAnsi="Times New Roman"/>
                <w:sz w:val="24"/>
                <w:szCs w:val="24"/>
                <w:lang w:val="lv-LV"/>
              </w:rPr>
              <w:t>pasūtītājam</w:t>
            </w:r>
            <w:r w:rsidRPr="003B4400">
              <w:rPr>
                <w:rFonts w:ascii="Times New Roman" w:hAnsi="Times New Roman"/>
                <w:sz w:val="24"/>
                <w:szCs w:val="24"/>
                <w:lang w:val="lv-LV"/>
              </w:rPr>
              <w:t xml:space="preserve"> neattiecināmo izmaksu segšanai no publiskā finansējuma.</w:t>
            </w:r>
          </w:p>
          <w:p w14:paraId="4509D652" w14:textId="261C9A93" w:rsidR="00C775BC" w:rsidRPr="003B4400" w:rsidRDefault="00C775BC" w:rsidP="00566A2A">
            <w:pPr>
              <w:jc w:val="both"/>
              <w:rPr>
                <w:rFonts w:ascii="Times New Roman" w:eastAsiaTheme="minorHAnsi" w:hAnsi="Times New Roman"/>
                <w:sz w:val="24"/>
                <w:szCs w:val="24"/>
                <w:lang w:val="lv-LV"/>
              </w:rPr>
            </w:pPr>
            <w:r w:rsidRPr="003B4400">
              <w:rPr>
                <w:rFonts w:ascii="Times New Roman" w:hAnsi="Times New Roman"/>
                <w:sz w:val="24"/>
                <w:szCs w:val="24"/>
                <w:lang w:val="lv-LV"/>
              </w:rPr>
              <w:t xml:space="preserve">Ņemot vērā spēkā esošo 40. punkta redakciju, </w:t>
            </w:r>
            <w:r w:rsidR="002D2020" w:rsidRPr="003B4400">
              <w:rPr>
                <w:rFonts w:ascii="Times New Roman" w:hAnsi="Times New Roman"/>
                <w:sz w:val="24"/>
                <w:szCs w:val="24"/>
                <w:lang w:val="lv-LV"/>
              </w:rPr>
              <w:t xml:space="preserve"> SIA “Ķeguma stars”</w:t>
            </w:r>
            <w:r w:rsidR="002D2020">
              <w:rPr>
                <w:rFonts w:ascii="Times New Roman" w:hAnsi="Times New Roman"/>
                <w:sz w:val="24"/>
                <w:szCs w:val="24"/>
                <w:lang w:val="lv-LV"/>
              </w:rPr>
              <w:t xml:space="preserve"> </w:t>
            </w:r>
            <w:r w:rsidR="002D2020" w:rsidRPr="003B4400">
              <w:rPr>
                <w:rFonts w:ascii="Times New Roman" w:hAnsi="Times New Roman"/>
                <w:sz w:val="24"/>
                <w:szCs w:val="24"/>
                <w:lang w:val="lv-LV"/>
              </w:rPr>
              <w:t xml:space="preserve"> </w:t>
            </w:r>
            <w:r w:rsidRPr="003B4400">
              <w:rPr>
                <w:rFonts w:ascii="Times New Roman" w:hAnsi="Times New Roman"/>
                <w:sz w:val="24"/>
                <w:szCs w:val="24"/>
                <w:lang w:val="lv-LV"/>
              </w:rPr>
              <w:t xml:space="preserve"> nav tiesīgs projekta īstenošanai nepieciešamos līdzekļus saņemt iestādēs, kur sniegtais finansējums ir klasificējams kā publisks finansējums. Ņemot vērā iepriekš minēto, </w:t>
            </w:r>
            <w:r w:rsidR="002D2020" w:rsidRPr="003B4400">
              <w:rPr>
                <w:rFonts w:ascii="Times New Roman" w:hAnsi="Times New Roman"/>
                <w:sz w:val="24"/>
                <w:szCs w:val="24"/>
                <w:lang w:val="lv-LV"/>
              </w:rPr>
              <w:t xml:space="preserve"> SIA “Ķeguma stars”</w:t>
            </w:r>
            <w:r w:rsidR="002D2020">
              <w:rPr>
                <w:rFonts w:ascii="Times New Roman" w:hAnsi="Times New Roman"/>
                <w:sz w:val="24"/>
                <w:szCs w:val="24"/>
                <w:lang w:val="lv-LV"/>
              </w:rPr>
              <w:t xml:space="preserve"> </w:t>
            </w:r>
            <w:r w:rsidR="002D2020" w:rsidRPr="003B4400">
              <w:rPr>
                <w:rFonts w:ascii="Times New Roman" w:hAnsi="Times New Roman"/>
                <w:sz w:val="24"/>
                <w:szCs w:val="24"/>
                <w:lang w:val="lv-LV"/>
              </w:rPr>
              <w:t xml:space="preserve"> </w:t>
            </w:r>
            <w:r w:rsidRPr="003B4400">
              <w:rPr>
                <w:rFonts w:ascii="Times New Roman" w:hAnsi="Times New Roman"/>
                <w:sz w:val="24"/>
                <w:szCs w:val="24"/>
                <w:lang w:val="lv-LV"/>
              </w:rPr>
              <w:t xml:space="preserve"> projekta īstenošanai nepieciešamo finansējumu nevar saņemt akciju sabiedrībā "Attīstības finanšu institūcija </w:t>
            </w:r>
            <w:r w:rsidRPr="003B4400">
              <w:rPr>
                <w:rFonts w:ascii="Times New Roman" w:hAnsi="Times New Roman"/>
                <w:sz w:val="24"/>
                <w:szCs w:val="24"/>
                <w:lang w:val="lv-LV" w:eastAsia="lv-LV"/>
              </w:rPr>
              <w:t>"</w:t>
            </w:r>
            <w:proofErr w:type="spellStart"/>
            <w:r w:rsidRPr="003B4400">
              <w:rPr>
                <w:rFonts w:ascii="Times New Roman" w:hAnsi="Times New Roman"/>
                <w:sz w:val="24"/>
                <w:szCs w:val="24"/>
                <w:lang w:val="lv-LV"/>
              </w:rPr>
              <w:t>Altum</w:t>
            </w:r>
            <w:proofErr w:type="spellEnd"/>
            <w:r w:rsidRPr="003B4400">
              <w:rPr>
                <w:rFonts w:ascii="Times New Roman" w:hAnsi="Times New Roman"/>
                <w:sz w:val="24"/>
                <w:szCs w:val="24"/>
                <w:lang w:val="lv-LV"/>
              </w:rPr>
              <w:t>"</w:t>
            </w:r>
            <w:r w:rsidRPr="003B4400">
              <w:rPr>
                <w:rFonts w:ascii="Times New Roman" w:hAnsi="Times New Roman"/>
                <w:sz w:val="24"/>
                <w:szCs w:val="24"/>
                <w:lang w:val="lv-LV" w:eastAsia="lv-LV"/>
              </w:rPr>
              <w:t>"</w:t>
            </w:r>
            <w:r w:rsidR="00355D47" w:rsidRPr="003B4400">
              <w:rPr>
                <w:rFonts w:ascii="Times New Roman" w:hAnsi="Times New Roman"/>
                <w:sz w:val="24"/>
                <w:szCs w:val="24"/>
                <w:lang w:val="lv-LV" w:eastAsia="lv-LV"/>
              </w:rPr>
              <w:t xml:space="preserve"> </w:t>
            </w:r>
            <w:r w:rsidRPr="003B4400">
              <w:rPr>
                <w:rFonts w:ascii="Times New Roman" w:hAnsi="Times New Roman"/>
                <w:sz w:val="24"/>
                <w:szCs w:val="24"/>
                <w:lang w:val="lv-LV"/>
              </w:rPr>
              <w:t>(turpmāk – Sabiedrība "</w:t>
            </w:r>
            <w:proofErr w:type="spellStart"/>
            <w:r w:rsidRPr="003B4400">
              <w:rPr>
                <w:rFonts w:ascii="Times New Roman" w:hAnsi="Times New Roman"/>
                <w:sz w:val="24"/>
                <w:szCs w:val="24"/>
                <w:lang w:val="lv-LV"/>
              </w:rPr>
              <w:t>Altum</w:t>
            </w:r>
            <w:proofErr w:type="spellEnd"/>
            <w:r w:rsidRPr="003B4400">
              <w:rPr>
                <w:rFonts w:ascii="Times New Roman" w:hAnsi="Times New Roman"/>
                <w:sz w:val="24"/>
                <w:szCs w:val="24"/>
                <w:lang w:val="lv-LV"/>
              </w:rPr>
              <w:t xml:space="preserve">") un Valsts kasē.  </w:t>
            </w:r>
          </w:p>
          <w:p w14:paraId="256FDF75" w14:textId="27D91AA4" w:rsidR="00C775BC" w:rsidRPr="003B4400" w:rsidRDefault="00C775BC" w:rsidP="00566A2A">
            <w:pPr>
              <w:jc w:val="both"/>
              <w:rPr>
                <w:rFonts w:ascii="Times New Roman" w:hAnsi="Times New Roman"/>
                <w:sz w:val="24"/>
                <w:szCs w:val="24"/>
                <w:lang w:val="lv-LV"/>
              </w:rPr>
            </w:pPr>
            <w:r w:rsidRPr="003B4400">
              <w:rPr>
                <w:rFonts w:ascii="Times New Roman" w:hAnsi="Times New Roman"/>
                <w:sz w:val="24"/>
                <w:szCs w:val="24"/>
                <w:lang w:val="lv-LV"/>
              </w:rPr>
              <w:t xml:space="preserve">Papildus skaidrojam, ka </w:t>
            </w:r>
            <w:r w:rsidR="002D2020" w:rsidRPr="003B4400">
              <w:rPr>
                <w:rFonts w:ascii="Times New Roman" w:hAnsi="Times New Roman"/>
                <w:sz w:val="24"/>
                <w:szCs w:val="24"/>
                <w:lang w:val="lv-LV"/>
              </w:rPr>
              <w:t xml:space="preserve"> SIA “Ķeguma stars”</w:t>
            </w:r>
            <w:r w:rsidR="002D2020">
              <w:rPr>
                <w:rFonts w:ascii="Times New Roman" w:hAnsi="Times New Roman"/>
                <w:sz w:val="24"/>
                <w:szCs w:val="24"/>
                <w:lang w:val="lv-LV"/>
              </w:rPr>
              <w:t xml:space="preserve"> </w:t>
            </w:r>
            <w:r w:rsidR="002D2020" w:rsidRPr="003B4400">
              <w:rPr>
                <w:rFonts w:ascii="Times New Roman" w:hAnsi="Times New Roman"/>
                <w:sz w:val="24"/>
                <w:szCs w:val="24"/>
                <w:lang w:val="lv-LV"/>
              </w:rPr>
              <w:t xml:space="preserve"> </w:t>
            </w:r>
            <w:r w:rsidRPr="003B4400">
              <w:rPr>
                <w:rFonts w:ascii="Times New Roman" w:hAnsi="Times New Roman"/>
                <w:sz w:val="24"/>
                <w:szCs w:val="24"/>
                <w:lang w:val="lv-LV"/>
              </w:rPr>
              <w:t>ir interesējies par iespēju aizdevumu neattiecināmo izmaksu segšanai saņemt komercbankā, tomēr saņemts atteikums.</w:t>
            </w:r>
          </w:p>
          <w:p w14:paraId="4FDC52E9" w14:textId="77777777" w:rsidR="00C775BC" w:rsidRPr="003B4400" w:rsidRDefault="00C775BC" w:rsidP="00566A2A">
            <w:pPr>
              <w:jc w:val="both"/>
              <w:rPr>
                <w:rFonts w:ascii="Times New Roman" w:hAnsi="Times New Roman"/>
                <w:sz w:val="24"/>
                <w:szCs w:val="24"/>
                <w:lang w:val="lv-LV"/>
              </w:rPr>
            </w:pPr>
            <w:r w:rsidRPr="003B4400">
              <w:rPr>
                <w:rFonts w:ascii="Times New Roman" w:hAnsi="Times New Roman"/>
                <w:sz w:val="24"/>
                <w:szCs w:val="24"/>
                <w:lang w:val="lv-LV"/>
              </w:rPr>
              <w:t>Neattiecināmās izmaksas sastāda tādas izmaksu pozīcijas, kā “aprīkojuma un iekārtu izmaksas”, “projektēšanas izmaksas”, “autoruzraudzības izmaksas”, “būvuzraudzības izmaksas”, “projekta vadības personāla izmaksas” u.c.</w:t>
            </w:r>
          </w:p>
          <w:p w14:paraId="52659274" w14:textId="7E6C3452" w:rsidR="00C775BC" w:rsidRPr="003B4400" w:rsidRDefault="00C775BC" w:rsidP="00566A2A">
            <w:pPr>
              <w:jc w:val="both"/>
              <w:rPr>
                <w:rFonts w:ascii="Times New Roman" w:hAnsi="Times New Roman"/>
                <w:sz w:val="24"/>
                <w:szCs w:val="24"/>
                <w:lang w:val="lv-LV"/>
              </w:rPr>
            </w:pPr>
            <w:r w:rsidRPr="003B4400">
              <w:rPr>
                <w:rFonts w:ascii="Times New Roman" w:hAnsi="Times New Roman"/>
                <w:sz w:val="24"/>
                <w:szCs w:val="24"/>
                <w:lang w:val="lv-LV"/>
              </w:rPr>
              <w:lastRenderedPageBreak/>
              <w:t>Lai projekts tiktu īstenots ir neapšaubāmi nepieciešams īstenot darbības, kuru izmaksas projekta īstenošanā atzīstamas par neattiecināmām, lai centralizētās siltumapgādes uzņēmum</w:t>
            </w:r>
            <w:r w:rsidR="00E03956">
              <w:rPr>
                <w:rFonts w:ascii="Times New Roman" w:hAnsi="Times New Roman"/>
                <w:sz w:val="24"/>
                <w:szCs w:val="24"/>
                <w:lang w:val="lv-LV"/>
              </w:rPr>
              <w:t>s</w:t>
            </w:r>
            <w:r w:rsidRPr="003B4400">
              <w:rPr>
                <w:rFonts w:ascii="Times New Roman" w:hAnsi="Times New Roman"/>
                <w:sz w:val="24"/>
                <w:szCs w:val="24"/>
                <w:lang w:val="lv-LV"/>
              </w:rPr>
              <w:t xml:space="preserve"> spētu darboties un nodrošināt pakalpojumu sniegšanu. </w:t>
            </w:r>
          </w:p>
          <w:p w14:paraId="446D9B30" w14:textId="77777777" w:rsidR="000B397E" w:rsidRPr="003B4400" w:rsidRDefault="000B397E" w:rsidP="00566A2A">
            <w:pPr>
              <w:jc w:val="both"/>
              <w:rPr>
                <w:rFonts w:ascii="Times New Roman" w:hAnsi="Times New Roman"/>
                <w:color w:val="000000" w:themeColor="text1"/>
                <w:sz w:val="24"/>
                <w:szCs w:val="24"/>
                <w:lang w:val="lv-LV"/>
              </w:rPr>
            </w:pPr>
            <w:r w:rsidRPr="003B4400">
              <w:rPr>
                <w:rFonts w:ascii="Times New Roman" w:hAnsi="Times New Roman"/>
                <w:sz w:val="24"/>
                <w:szCs w:val="24"/>
                <w:lang w:val="lv-LV"/>
              </w:rPr>
              <w:t>MK noteikumu 40.punkta vērtējums nepasliktina sākotnējo projekta vērtējumu pēc projekta iesnieguma vērtēšanas kritērijiem. Normas sākotnējais mērķis – disciplinēt finansējuma saņēmēju – var tikt sasniegts ar Ministru kabineta 2014. gada 16. decembra noteikumu Nr. 784 “Kārtība, kādā Eiropas Savienības struktūrfondu un Kohēzijas fonda vadībā iesaistītās institūcijas nodrošina plānošanas dokumentu sagatavošanu un šo fondu ieviešanu 2014.-2020.gada plānošanas periodā” 51.</w:t>
            </w:r>
            <w:r w:rsidRPr="003B4400">
              <w:rPr>
                <w:rFonts w:ascii="Times New Roman" w:hAnsi="Times New Roman"/>
                <w:sz w:val="24"/>
                <w:szCs w:val="24"/>
                <w:vertAlign w:val="superscript"/>
                <w:lang w:val="lv-LV"/>
              </w:rPr>
              <w:t>3</w:t>
            </w:r>
            <w:r w:rsidRPr="003B4400">
              <w:rPr>
                <w:rFonts w:ascii="Times New Roman" w:hAnsi="Times New Roman"/>
                <w:sz w:val="24"/>
                <w:szCs w:val="24"/>
                <w:lang w:val="lv-LV"/>
              </w:rPr>
              <w:t xml:space="preserve"> punktā ietverto regulējumu. Papildus secināms, ka noteikumu projektā, finansējuma saņēmēji projekta gaitā varētu elastīgāk vadīt iespējamos neparedzamos riskus</w:t>
            </w:r>
            <w:r w:rsidRPr="003B4400">
              <w:rPr>
                <w:rFonts w:ascii="Times New Roman" w:hAnsi="Times New Roman"/>
                <w:color w:val="000000" w:themeColor="text1"/>
                <w:sz w:val="24"/>
                <w:szCs w:val="24"/>
                <w:lang w:val="lv-LV"/>
              </w:rPr>
              <w:t>. Noteikumu projektā iekļautās prasības uzskatāmas par finansējuma saņēmējiem labvēlīgākām.</w:t>
            </w:r>
          </w:p>
          <w:p w14:paraId="10C0028D" w14:textId="7C627601" w:rsidR="00766B76" w:rsidRDefault="00766B76" w:rsidP="00766B76">
            <w:pPr>
              <w:spacing w:after="0" w:line="240" w:lineRule="auto"/>
              <w:ind w:firstLine="720"/>
              <w:jc w:val="both"/>
              <w:rPr>
                <w:rFonts w:ascii="Times New Roman" w:hAnsi="Times New Roman"/>
                <w:sz w:val="24"/>
                <w:szCs w:val="24"/>
                <w:lang w:val="lv-LV"/>
              </w:rPr>
            </w:pPr>
            <w:r w:rsidRPr="00766B76">
              <w:rPr>
                <w:rFonts w:ascii="Times New Roman" w:hAnsi="Times New Roman"/>
                <w:sz w:val="24"/>
                <w:szCs w:val="24"/>
                <w:lang w:val="lv-LV"/>
              </w:rPr>
              <w:t xml:space="preserve">Ja netiks rasts risinājums projektu neattiecināmo izmaksu segšanai, pastāv iespēja, ka </w:t>
            </w:r>
            <w:r w:rsidR="002D2020" w:rsidRPr="003B4400">
              <w:rPr>
                <w:rFonts w:ascii="Times New Roman" w:hAnsi="Times New Roman"/>
                <w:sz w:val="24"/>
                <w:szCs w:val="24"/>
                <w:lang w:val="lv-LV"/>
              </w:rPr>
              <w:t>SIA “Ķeguma stars”</w:t>
            </w:r>
            <w:r w:rsidR="002D2020">
              <w:rPr>
                <w:rFonts w:ascii="Times New Roman" w:hAnsi="Times New Roman"/>
                <w:sz w:val="24"/>
                <w:szCs w:val="24"/>
                <w:lang w:val="lv-LV"/>
              </w:rPr>
              <w:t xml:space="preserve"> </w:t>
            </w:r>
            <w:r w:rsidR="002D2020" w:rsidRPr="003B4400">
              <w:rPr>
                <w:rFonts w:ascii="Times New Roman" w:hAnsi="Times New Roman"/>
                <w:sz w:val="24"/>
                <w:szCs w:val="24"/>
                <w:lang w:val="lv-LV"/>
              </w:rPr>
              <w:t xml:space="preserve"> </w:t>
            </w:r>
            <w:r w:rsidRPr="00766B76">
              <w:rPr>
                <w:rFonts w:ascii="Times New Roman" w:hAnsi="Times New Roman"/>
                <w:sz w:val="24"/>
                <w:szCs w:val="24"/>
                <w:lang w:val="lv-LV"/>
              </w:rPr>
              <w:t>projekts 4.3.1. pasākuma ietvaros varētu netikt īstenot</w:t>
            </w:r>
            <w:r w:rsidR="002D2020">
              <w:rPr>
                <w:rFonts w:ascii="Times New Roman" w:hAnsi="Times New Roman"/>
                <w:sz w:val="24"/>
                <w:szCs w:val="24"/>
                <w:lang w:val="lv-LV"/>
              </w:rPr>
              <w:t>s</w:t>
            </w:r>
            <w:r w:rsidRPr="00766B76">
              <w:rPr>
                <w:rFonts w:ascii="Times New Roman" w:hAnsi="Times New Roman"/>
                <w:sz w:val="24"/>
                <w:szCs w:val="24"/>
                <w:lang w:val="lv-LV"/>
              </w:rPr>
              <w:t>. Šādā gadījumā projekt</w:t>
            </w:r>
            <w:r w:rsidR="002D2020">
              <w:rPr>
                <w:rFonts w:ascii="Times New Roman" w:hAnsi="Times New Roman"/>
                <w:sz w:val="24"/>
                <w:szCs w:val="24"/>
                <w:lang w:val="lv-LV"/>
              </w:rPr>
              <w:t>a</w:t>
            </w:r>
            <w:r w:rsidRPr="00766B76">
              <w:rPr>
                <w:rFonts w:ascii="Times New Roman" w:hAnsi="Times New Roman"/>
                <w:sz w:val="24"/>
                <w:szCs w:val="24"/>
                <w:lang w:val="lv-LV"/>
              </w:rPr>
              <w:t xml:space="preserve"> ietvaros veicamām darbībām finansējums būtu jārod centralizētās siltumapgādes uzņēmumos, kas varētu rezultēties siltumapgādes tarifu pieaugumā.</w:t>
            </w:r>
          </w:p>
          <w:p w14:paraId="6856114D" w14:textId="77777777" w:rsidR="00717115" w:rsidRPr="00766B76" w:rsidRDefault="00717115" w:rsidP="00766B76">
            <w:pPr>
              <w:spacing w:after="0" w:line="240" w:lineRule="auto"/>
              <w:ind w:firstLine="720"/>
              <w:jc w:val="both"/>
              <w:rPr>
                <w:rFonts w:ascii="Times New Roman" w:hAnsi="Times New Roman"/>
                <w:sz w:val="24"/>
                <w:szCs w:val="24"/>
                <w:lang w:val="lv-LV"/>
              </w:rPr>
            </w:pPr>
          </w:p>
          <w:p w14:paraId="312E9093" w14:textId="5ED6BD59" w:rsidR="00766B76" w:rsidRDefault="00766B76" w:rsidP="00766B76">
            <w:pPr>
              <w:spacing w:after="0" w:line="240" w:lineRule="auto"/>
              <w:ind w:firstLine="720"/>
              <w:jc w:val="both"/>
              <w:rPr>
                <w:rFonts w:ascii="Times New Roman" w:hAnsi="Times New Roman"/>
                <w:sz w:val="24"/>
                <w:szCs w:val="24"/>
                <w:lang w:val="lv-LV"/>
              </w:rPr>
            </w:pPr>
            <w:r w:rsidRPr="00766B76">
              <w:rPr>
                <w:rFonts w:ascii="Times New Roman" w:hAnsi="Times New Roman"/>
                <w:sz w:val="24"/>
                <w:szCs w:val="24"/>
                <w:lang w:val="lv-LV"/>
              </w:rPr>
              <w:t>Lai risinātu situāciju, paredzēt</w:t>
            </w:r>
            <w:r w:rsidR="00717115">
              <w:rPr>
                <w:rFonts w:ascii="Times New Roman" w:hAnsi="Times New Roman"/>
                <w:sz w:val="24"/>
                <w:szCs w:val="24"/>
                <w:lang w:val="lv-LV"/>
              </w:rPr>
              <w:t>s grozījums</w:t>
            </w:r>
            <w:r w:rsidRPr="00766B76">
              <w:rPr>
                <w:rFonts w:ascii="Times New Roman" w:hAnsi="Times New Roman"/>
                <w:sz w:val="24"/>
                <w:szCs w:val="24"/>
                <w:lang w:val="lv-LV"/>
              </w:rPr>
              <w:t xml:space="preserve"> </w:t>
            </w:r>
            <w:r w:rsidR="00717115">
              <w:rPr>
                <w:rFonts w:ascii="Times New Roman" w:hAnsi="Times New Roman"/>
                <w:sz w:val="24"/>
                <w:szCs w:val="24"/>
                <w:lang w:val="lv-LV"/>
              </w:rPr>
              <w:t xml:space="preserve">noteikumu </w:t>
            </w:r>
            <w:r w:rsidR="00172DB8">
              <w:rPr>
                <w:rFonts w:ascii="Times New Roman" w:hAnsi="Times New Roman"/>
                <w:sz w:val="24"/>
                <w:szCs w:val="24"/>
                <w:lang w:val="lv-LV"/>
              </w:rPr>
              <w:t>40</w:t>
            </w:r>
            <w:r w:rsidRPr="00766B76">
              <w:rPr>
                <w:rFonts w:ascii="Times New Roman" w:hAnsi="Times New Roman"/>
                <w:sz w:val="24"/>
                <w:szCs w:val="24"/>
                <w:lang w:val="lv-LV"/>
              </w:rPr>
              <w:t xml:space="preserve">. punktā, nosakot, ka, ja VTNP projekta īstenošanas laikā rodas neattiecināmie izdevumi vai sadārdzinās projekta izmaksas, finansējuma saņēmējs apņemas neattiecināmos izdevumus un projekta izmaksu sadārdzinājumu </w:t>
            </w:r>
            <w:r w:rsidRPr="00766B76">
              <w:rPr>
                <w:rFonts w:ascii="Times New Roman" w:hAnsi="Times New Roman"/>
                <w:b/>
                <w:bCs/>
                <w:sz w:val="24"/>
                <w:szCs w:val="24"/>
                <w:lang w:val="lv-LV"/>
              </w:rPr>
              <w:t>segt no līdzekļiem, kas nav saistīti ar grantu atbalstu no ES fondu vai valsts budžeta līdzekļiem</w:t>
            </w:r>
            <w:r w:rsidRPr="00766B76">
              <w:rPr>
                <w:rFonts w:ascii="Times New Roman" w:hAnsi="Times New Roman"/>
                <w:sz w:val="24"/>
                <w:szCs w:val="24"/>
                <w:lang w:val="lv-LV"/>
              </w:rPr>
              <w:t xml:space="preserve">. Projekta īstenošanas laikā radušos neattiecināmos izdevumus vai sadārdzinājušās projekta izmaksas, finansējuma saņēmējs var </w:t>
            </w:r>
            <w:r w:rsidRPr="00766B76">
              <w:rPr>
                <w:rFonts w:ascii="Times New Roman" w:hAnsi="Times New Roman"/>
                <w:b/>
                <w:bCs/>
                <w:sz w:val="24"/>
                <w:szCs w:val="24"/>
                <w:lang w:val="lv-LV"/>
              </w:rPr>
              <w:t>segt no</w:t>
            </w:r>
            <w:r w:rsidRPr="00766B76">
              <w:rPr>
                <w:rFonts w:ascii="Times New Roman" w:hAnsi="Times New Roman"/>
                <w:sz w:val="24"/>
                <w:szCs w:val="24"/>
                <w:lang w:val="lv-LV"/>
              </w:rPr>
              <w:t xml:space="preserve"> paša līdzekļiem vai arī no līdzekļiem (t.sk. publiskajiem līdzekļiem un valsts atbalsta programmām, ievērojot attiecīgo valsts atbalsta programmu nosacījumus), kuri piesaistīti kā </w:t>
            </w:r>
            <w:r w:rsidRPr="00766B76">
              <w:rPr>
                <w:rFonts w:ascii="Times New Roman" w:hAnsi="Times New Roman"/>
                <w:b/>
                <w:bCs/>
                <w:sz w:val="24"/>
                <w:szCs w:val="24"/>
                <w:lang w:val="lv-LV"/>
              </w:rPr>
              <w:t>aizdevums vai ar garantijas palīdzību</w:t>
            </w:r>
            <w:r w:rsidRPr="00766B76">
              <w:rPr>
                <w:rFonts w:ascii="Times New Roman" w:hAnsi="Times New Roman"/>
                <w:sz w:val="24"/>
                <w:szCs w:val="24"/>
                <w:lang w:val="lv-LV"/>
              </w:rPr>
              <w:t xml:space="preserve">, tai skaitā arī tad, ja aizdevējs vai garantijas sniedzējs ir  </w:t>
            </w:r>
            <w:r w:rsidRPr="00766B76">
              <w:rPr>
                <w:rFonts w:ascii="Times New Roman" w:hAnsi="Times New Roman"/>
                <w:b/>
                <w:bCs/>
                <w:sz w:val="24"/>
                <w:szCs w:val="24"/>
                <w:lang w:val="lv-LV"/>
              </w:rPr>
              <w:t xml:space="preserve">kredītiestāde (komercbanka), </w:t>
            </w:r>
            <w:r w:rsidRPr="00766B76">
              <w:rPr>
                <w:rFonts w:ascii="Times New Roman" w:eastAsia="Times New Roman" w:hAnsi="Times New Roman"/>
                <w:b/>
                <w:bCs/>
                <w:sz w:val="24"/>
                <w:szCs w:val="24"/>
                <w:lang w:val="lv-LV" w:eastAsia="lv-LV"/>
              </w:rPr>
              <w:t>"</w:t>
            </w:r>
            <w:proofErr w:type="spellStart"/>
            <w:r w:rsidRPr="00766B76">
              <w:rPr>
                <w:rFonts w:ascii="Times New Roman" w:hAnsi="Times New Roman"/>
                <w:b/>
                <w:bCs/>
                <w:sz w:val="24"/>
                <w:szCs w:val="24"/>
                <w:lang w:val="lv-LV"/>
              </w:rPr>
              <w:t>Altum</w:t>
            </w:r>
            <w:proofErr w:type="spellEnd"/>
            <w:r w:rsidRPr="00766B76">
              <w:rPr>
                <w:rFonts w:ascii="Times New Roman" w:eastAsia="Times New Roman" w:hAnsi="Times New Roman"/>
                <w:b/>
                <w:bCs/>
                <w:sz w:val="24"/>
                <w:szCs w:val="24"/>
                <w:lang w:val="lv-LV" w:eastAsia="lv-LV"/>
              </w:rPr>
              <w:t xml:space="preserve">" </w:t>
            </w:r>
            <w:r w:rsidRPr="00766B76">
              <w:rPr>
                <w:rFonts w:ascii="Times New Roman" w:hAnsi="Times New Roman"/>
                <w:b/>
                <w:bCs/>
                <w:sz w:val="24"/>
                <w:szCs w:val="24"/>
                <w:lang w:val="lv-LV"/>
              </w:rPr>
              <w:t xml:space="preserve"> vai Valsts kase</w:t>
            </w:r>
            <w:r w:rsidRPr="00766B76">
              <w:rPr>
                <w:rFonts w:ascii="Times New Roman" w:hAnsi="Times New Roman"/>
                <w:sz w:val="24"/>
                <w:szCs w:val="24"/>
                <w:lang w:val="lv-LV"/>
              </w:rPr>
              <w:t xml:space="preserve">. </w:t>
            </w:r>
          </w:p>
          <w:p w14:paraId="6F2AD7E5" w14:textId="77777777" w:rsidR="00717115" w:rsidRPr="00766B76" w:rsidRDefault="00717115" w:rsidP="00766B76">
            <w:pPr>
              <w:spacing w:after="0" w:line="240" w:lineRule="auto"/>
              <w:ind w:firstLine="720"/>
              <w:jc w:val="both"/>
              <w:rPr>
                <w:rFonts w:ascii="Times New Roman" w:hAnsi="Times New Roman"/>
                <w:sz w:val="24"/>
                <w:szCs w:val="24"/>
                <w:lang w:val="lv-LV"/>
              </w:rPr>
            </w:pPr>
          </w:p>
          <w:p w14:paraId="19562B97" w14:textId="59A960DB" w:rsidR="00766B76" w:rsidRDefault="00766B76" w:rsidP="00766B76">
            <w:pPr>
              <w:spacing w:after="0" w:line="240" w:lineRule="auto"/>
              <w:ind w:firstLine="720"/>
              <w:jc w:val="both"/>
              <w:rPr>
                <w:rFonts w:ascii="Times New Roman" w:hAnsi="Times New Roman"/>
                <w:sz w:val="24"/>
                <w:szCs w:val="24"/>
                <w:lang w:val="lv-LV"/>
              </w:rPr>
            </w:pPr>
            <w:r w:rsidRPr="00766B76">
              <w:rPr>
                <w:rFonts w:ascii="Times New Roman" w:hAnsi="Times New Roman"/>
                <w:sz w:val="24"/>
                <w:szCs w:val="24"/>
                <w:lang w:val="lv-LV"/>
              </w:rPr>
              <w:t>"</w:t>
            </w:r>
            <w:proofErr w:type="spellStart"/>
            <w:r w:rsidRPr="00766B76">
              <w:rPr>
                <w:rFonts w:ascii="Times New Roman" w:hAnsi="Times New Roman"/>
                <w:sz w:val="24"/>
                <w:szCs w:val="24"/>
                <w:lang w:val="lv-LV"/>
              </w:rPr>
              <w:t>Altum</w:t>
            </w:r>
            <w:proofErr w:type="spellEnd"/>
            <w:r w:rsidRPr="00766B76">
              <w:rPr>
                <w:rFonts w:ascii="Times New Roman" w:hAnsi="Times New Roman"/>
                <w:sz w:val="24"/>
                <w:szCs w:val="24"/>
                <w:lang w:val="lv-LV"/>
              </w:rPr>
              <w:t xml:space="preserve">" jau sniegusi informāciju, ka piešķirtu aizdevumus 4.3.1. pasākuma ietvaros īstenotu VTNP projektu neattiecināmo izmaksu segšanai, ja tiktu precizēta </w:t>
            </w:r>
            <w:r w:rsidR="00172DB8">
              <w:rPr>
                <w:rFonts w:ascii="Times New Roman" w:hAnsi="Times New Roman"/>
                <w:sz w:val="24"/>
                <w:szCs w:val="24"/>
                <w:lang w:val="lv-LV"/>
              </w:rPr>
              <w:t>40</w:t>
            </w:r>
            <w:r w:rsidRPr="00766B76">
              <w:rPr>
                <w:rFonts w:ascii="Times New Roman" w:hAnsi="Times New Roman"/>
                <w:sz w:val="24"/>
                <w:szCs w:val="24"/>
                <w:lang w:val="lv-LV"/>
              </w:rPr>
              <w:t xml:space="preserve">. punkta redakcija, pieļaujot minēto projektu neattiecināmās izmaksas segt no publiskā finansējuma. </w:t>
            </w:r>
          </w:p>
          <w:p w14:paraId="51F5845B" w14:textId="77777777" w:rsidR="00717115" w:rsidRPr="00766B76" w:rsidRDefault="00717115" w:rsidP="00766B76">
            <w:pPr>
              <w:spacing w:after="0" w:line="240" w:lineRule="auto"/>
              <w:ind w:firstLine="720"/>
              <w:jc w:val="both"/>
              <w:rPr>
                <w:rFonts w:ascii="Times New Roman" w:hAnsi="Times New Roman"/>
                <w:sz w:val="24"/>
                <w:szCs w:val="24"/>
                <w:lang w:val="lv-LV"/>
              </w:rPr>
            </w:pPr>
          </w:p>
          <w:p w14:paraId="2837662C" w14:textId="77777777" w:rsidR="00766B76" w:rsidRPr="007156C2" w:rsidRDefault="00766B76" w:rsidP="00766B76">
            <w:pPr>
              <w:spacing w:line="240" w:lineRule="auto"/>
              <w:ind w:firstLine="720"/>
              <w:jc w:val="both"/>
              <w:rPr>
                <w:rFonts w:ascii="Times New Roman" w:hAnsi="Times New Roman"/>
                <w:sz w:val="24"/>
                <w:szCs w:val="24"/>
              </w:rPr>
            </w:pPr>
            <w:r w:rsidRPr="00766B76">
              <w:rPr>
                <w:rFonts w:ascii="Times New Roman" w:hAnsi="Times New Roman"/>
                <w:sz w:val="24"/>
                <w:szCs w:val="24"/>
                <w:lang w:val="lv-LV"/>
              </w:rPr>
              <w:t>Pēc šo noteikumu spēkā stāšanās projekta ietvaros tiks nodrošināta iespēja vērsties “</w:t>
            </w:r>
            <w:proofErr w:type="spellStart"/>
            <w:r w:rsidRPr="00766B76">
              <w:rPr>
                <w:rFonts w:ascii="Times New Roman" w:hAnsi="Times New Roman"/>
                <w:sz w:val="24"/>
                <w:szCs w:val="24"/>
                <w:lang w:val="lv-LV"/>
              </w:rPr>
              <w:t>Altum</w:t>
            </w:r>
            <w:proofErr w:type="spellEnd"/>
            <w:r w:rsidRPr="00766B76">
              <w:rPr>
                <w:rFonts w:ascii="Times New Roman" w:hAnsi="Times New Roman"/>
                <w:sz w:val="24"/>
                <w:szCs w:val="24"/>
                <w:lang w:val="lv-LV"/>
              </w:rPr>
              <w:t xml:space="preserve">” un saņemt valsts atbalstu par radušos neattiecināmo izdevumu daļu vai sadārdzinājušās projekta </w:t>
            </w:r>
            <w:r w:rsidRPr="00766B76">
              <w:rPr>
                <w:rFonts w:ascii="Times New Roman" w:hAnsi="Times New Roman"/>
                <w:sz w:val="24"/>
                <w:szCs w:val="24"/>
                <w:lang w:val="lv-LV"/>
              </w:rPr>
              <w:lastRenderedPageBreak/>
              <w:t>izmaksas segt arī no līdzekļiem t.sk. publiskajiem līdzekļiem un valsts atbalsta programmām. Lēmuma pieņemšana par atbalsta piešķiršanu tiks nodrošināta, ievērojot attiecīgo valsts atbalsta programmu nosacījumus, t.sk., izvērtējot turpmāk nepieciešamā “</w:t>
            </w:r>
            <w:proofErr w:type="spellStart"/>
            <w:r w:rsidRPr="00766B76">
              <w:rPr>
                <w:rFonts w:ascii="Times New Roman" w:hAnsi="Times New Roman"/>
                <w:sz w:val="24"/>
                <w:szCs w:val="24"/>
                <w:lang w:val="lv-LV"/>
              </w:rPr>
              <w:t>Altum</w:t>
            </w:r>
            <w:proofErr w:type="spellEnd"/>
            <w:r w:rsidRPr="00766B76">
              <w:rPr>
                <w:rFonts w:ascii="Times New Roman" w:hAnsi="Times New Roman"/>
                <w:sz w:val="24"/>
                <w:szCs w:val="24"/>
                <w:lang w:val="lv-LV"/>
              </w:rPr>
              <w:t xml:space="preserve">” valsts atbalsta programmu izveidotā riska seguma pietiekamība, t.sk., sagaidāmā paredzamā kredītriska zaudējumu segšanai potenciālās izmaiņas un tā ietekme programmās, kas tiek īstenotas aizdevumu vai garantiju veidā. </w:t>
            </w:r>
            <w:proofErr w:type="spellStart"/>
            <w:r w:rsidRPr="002E4238">
              <w:rPr>
                <w:rFonts w:ascii="Times New Roman" w:hAnsi="Times New Roman"/>
                <w:sz w:val="24"/>
                <w:szCs w:val="24"/>
              </w:rPr>
              <w:t>Esošās</w:t>
            </w:r>
            <w:proofErr w:type="spellEnd"/>
            <w:r w:rsidRPr="002E4238">
              <w:rPr>
                <w:rFonts w:ascii="Times New Roman" w:hAnsi="Times New Roman"/>
                <w:sz w:val="24"/>
                <w:szCs w:val="24"/>
              </w:rPr>
              <w:t xml:space="preserve"> </w:t>
            </w:r>
            <w:r>
              <w:rPr>
                <w:rFonts w:ascii="Times New Roman" w:hAnsi="Times New Roman"/>
                <w:sz w:val="24"/>
                <w:szCs w:val="24"/>
              </w:rPr>
              <w:t>“</w:t>
            </w:r>
            <w:proofErr w:type="spellStart"/>
            <w:r w:rsidRPr="002E4238">
              <w:rPr>
                <w:rFonts w:ascii="Times New Roman" w:hAnsi="Times New Roman"/>
                <w:sz w:val="24"/>
                <w:szCs w:val="24"/>
              </w:rPr>
              <w:t>Altum</w:t>
            </w:r>
            <w:proofErr w:type="spellEnd"/>
            <w:r>
              <w:rPr>
                <w:rFonts w:ascii="Times New Roman" w:hAnsi="Times New Roman"/>
                <w:sz w:val="24"/>
                <w:szCs w:val="24"/>
              </w:rPr>
              <w:t>”</w:t>
            </w:r>
            <w:r w:rsidRPr="002E4238">
              <w:rPr>
                <w:rFonts w:ascii="Times New Roman" w:hAnsi="Times New Roman"/>
                <w:sz w:val="24"/>
                <w:szCs w:val="24"/>
              </w:rPr>
              <w:t xml:space="preserve"> </w:t>
            </w:r>
            <w:proofErr w:type="spellStart"/>
            <w:r w:rsidRPr="002E4238">
              <w:rPr>
                <w:rFonts w:ascii="Times New Roman" w:hAnsi="Times New Roman"/>
                <w:sz w:val="24"/>
                <w:szCs w:val="24"/>
              </w:rPr>
              <w:t>administrētās</w:t>
            </w:r>
            <w:proofErr w:type="spellEnd"/>
            <w:r w:rsidRPr="002E4238">
              <w:rPr>
                <w:rFonts w:ascii="Times New Roman" w:hAnsi="Times New Roman"/>
                <w:sz w:val="24"/>
                <w:szCs w:val="24"/>
              </w:rPr>
              <w:t xml:space="preserve"> </w:t>
            </w:r>
            <w:proofErr w:type="spellStart"/>
            <w:r w:rsidRPr="002E4238">
              <w:rPr>
                <w:rFonts w:ascii="Times New Roman" w:hAnsi="Times New Roman"/>
                <w:sz w:val="24"/>
                <w:szCs w:val="24"/>
              </w:rPr>
              <w:t>programmas</w:t>
            </w:r>
            <w:proofErr w:type="spellEnd"/>
            <w:r w:rsidRPr="002E4238">
              <w:rPr>
                <w:rFonts w:ascii="Times New Roman" w:hAnsi="Times New Roman"/>
                <w:sz w:val="24"/>
                <w:szCs w:val="24"/>
              </w:rPr>
              <w:t xml:space="preserve"> </w:t>
            </w:r>
            <w:proofErr w:type="spellStart"/>
            <w:r w:rsidRPr="002E4238">
              <w:rPr>
                <w:rFonts w:ascii="Times New Roman" w:hAnsi="Times New Roman"/>
                <w:sz w:val="24"/>
                <w:szCs w:val="24"/>
              </w:rPr>
              <w:t>paredz</w:t>
            </w:r>
            <w:proofErr w:type="spellEnd"/>
            <w:r w:rsidRPr="002E4238">
              <w:rPr>
                <w:rFonts w:ascii="Times New Roman" w:hAnsi="Times New Roman"/>
                <w:sz w:val="24"/>
                <w:szCs w:val="24"/>
              </w:rPr>
              <w:t xml:space="preserve"> </w:t>
            </w:r>
            <w:proofErr w:type="spellStart"/>
            <w:r w:rsidRPr="002E4238">
              <w:rPr>
                <w:rFonts w:ascii="Times New Roman" w:hAnsi="Times New Roman"/>
                <w:sz w:val="24"/>
                <w:szCs w:val="24"/>
              </w:rPr>
              <w:t>atbalstu</w:t>
            </w:r>
            <w:proofErr w:type="spellEnd"/>
            <w:r w:rsidRPr="002E4238">
              <w:rPr>
                <w:rFonts w:ascii="Times New Roman" w:hAnsi="Times New Roman"/>
                <w:sz w:val="24"/>
                <w:szCs w:val="24"/>
              </w:rPr>
              <w:t xml:space="preserve"> </w:t>
            </w:r>
            <w:proofErr w:type="spellStart"/>
            <w:r w:rsidRPr="002E4238">
              <w:rPr>
                <w:rFonts w:ascii="Times New Roman" w:hAnsi="Times New Roman"/>
                <w:sz w:val="24"/>
                <w:szCs w:val="24"/>
              </w:rPr>
              <w:t>sniegt</w:t>
            </w:r>
            <w:proofErr w:type="spellEnd"/>
            <w:r w:rsidRPr="002E4238">
              <w:rPr>
                <w:rFonts w:ascii="Times New Roman" w:hAnsi="Times New Roman"/>
                <w:sz w:val="24"/>
                <w:szCs w:val="24"/>
              </w:rPr>
              <w:t xml:space="preserve"> </w:t>
            </w:r>
            <w:proofErr w:type="spellStart"/>
            <w:r w:rsidRPr="002E4238">
              <w:rPr>
                <w:rFonts w:ascii="Times New Roman" w:hAnsi="Times New Roman"/>
                <w:sz w:val="24"/>
                <w:szCs w:val="24"/>
              </w:rPr>
              <w:t>aizdevumu</w:t>
            </w:r>
            <w:proofErr w:type="spellEnd"/>
            <w:r w:rsidRPr="002E4238">
              <w:rPr>
                <w:rFonts w:ascii="Times New Roman" w:hAnsi="Times New Roman"/>
                <w:sz w:val="24"/>
                <w:szCs w:val="24"/>
              </w:rPr>
              <w:t xml:space="preserve"> un </w:t>
            </w:r>
            <w:proofErr w:type="spellStart"/>
            <w:r w:rsidRPr="002E4238">
              <w:rPr>
                <w:rFonts w:ascii="Times New Roman" w:hAnsi="Times New Roman"/>
                <w:sz w:val="24"/>
                <w:szCs w:val="24"/>
              </w:rPr>
              <w:t>garantiju</w:t>
            </w:r>
            <w:proofErr w:type="spellEnd"/>
            <w:r w:rsidRPr="002E4238">
              <w:rPr>
                <w:rFonts w:ascii="Times New Roman" w:hAnsi="Times New Roman"/>
                <w:sz w:val="24"/>
                <w:szCs w:val="24"/>
              </w:rPr>
              <w:t xml:space="preserve"> </w:t>
            </w:r>
            <w:proofErr w:type="spellStart"/>
            <w:r w:rsidRPr="002E4238">
              <w:rPr>
                <w:rFonts w:ascii="Times New Roman" w:hAnsi="Times New Roman"/>
                <w:sz w:val="24"/>
                <w:szCs w:val="24"/>
              </w:rPr>
              <w:t>veidā</w:t>
            </w:r>
            <w:proofErr w:type="spellEnd"/>
            <w:r w:rsidRPr="002E4238">
              <w:rPr>
                <w:rFonts w:ascii="Times New Roman" w:hAnsi="Times New Roman"/>
                <w:sz w:val="24"/>
                <w:szCs w:val="24"/>
              </w:rPr>
              <w:t>.</w:t>
            </w:r>
          </w:p>
          <w:p w14:paraId="0E34F660" w14:textId="77777777" w:rsidR="00766B76" w:rsidRPr="007156C2" w:rsidRDefault="00766B76" w:rsidP="00766B76">
            <w:pPr>
              <w:spacing w:after="0" w:line="240" w:lineRule="auto"/>
              <w:ind w:firstLine="720"/>
              <w:jc w:val="both"/>
              <w:rPr>
                <w:rFonts w:ascii="Times New Roman" w:hAnsi="Times New Roman"/>
                <w:sz w:val="24"/>
                <w:szCs w:val="24"/>
              </w:rPr>
            </w:pPr>
            <w:proofErr w:type="spellStart"/>
            <w:r w:rsidRPr="007156C2">
              <w:rPr>
                <w:rFonts w:ascii="Times New Roman" w:hAnsi="Times New Roman"/>
                <w:sz w:val="24"/>
                <w:szCs w:val="24"/>
              </w:rPr>
              <w:t>Pēc</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izmaiņām</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noteikumos</w:t>
            </w:r>
            <w:proofErr w:type="spellEnd"/>
            <w:r w:rsidRPr="007156C2">
              <w:rPr>
                <w:rFonts w:ascii="Times New Roman" w:hAnsi="Times New Roman"/>
                <w:sz w:val="24"/>
                <w:szCs w:val="24"/>
              </w:rPr>
              <w:t xml:space="preserve"> VTNP </w:t>
            </w:r>
            <w:proofErr w:type="spellStart"/>
            <w:r w:rsidRPr="007156C2">
              <w:rPr>
                <w:rFonts w:ascii="Times New Roman" w:hAnsi="Times New Roman"/>
                <w:sz w:val="24"/>
                <w:szCs w:val="24"/>
              </w:rPr>
              <w:t>finansējuma</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saņēmēji</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būs</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tiesīgi</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saņemt</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aizdevumu</w:t>
            </w:r>
            <w:proofErr w:type="spellEnd"/>
            <w:r w:rsidRPr="007156C2">
              <w:rPr>
                <w:rFonts w:ascii="Times New Roman" w:hAnsi="Times New Roman"/>
                <w:sz w:val="24"/>
                <w:szCs w:val="24"/>
              </w:rPr>
              <w:t xml:space="preserve"> no </w:t>
            </w:r>
            <w:proofErr w:type="spellStart"/>
            <w:r w:rsidRPr="007156C2">
              <w:rPr>
                <w:rFonts w:ascii="Times New Roman" w:hAnsi="Times New Roman"/>
                <w:sz w:val="24"/>
                <w:szCs w:val="24"/>
              </w:rPr>
              <w:t>publiskā</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finansējuma</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neattiecināmo</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izmaksu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segšanai</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lai</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veiktu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kvalitatīvu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projektu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īstenošanu</w:t>
            </w:r>
            <w:proofErr w:type="spellEnd"/>
            <w:r w:rsidRPr="007156C2">
              <w:rPr>
                <w:rFonts w:ascii="Times New Roman" w:hAnsi="Times New Roman"/>
                <w:sz w:val="24"/>
                <w:szCs w:val="24"/>
              </w:rPr>
              <w:t xml:space="preserve"> un </w:t>
            </w:r>
            <w:proofErr w:type="spellStart"/>
            <w:r w:rsidRPr="007156C2">
              <w:rPr>
                <w:rFonts w:ascii="Times New Roman" w:hAnsi="Times New Roman"/>
                <w:sz w:val="24"/>
                <w:szCs w:val="24"/>
              </w:rPr>
              <w:t>sniegtu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iespēju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centralizētās</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siltumapgādes</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uzņēmumiem</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nodrošināt</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pakalpojumu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sniegšanu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iedzīvotāju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pamatvajadzību</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nodrošināšanai</w:t>
            </w:r>
            <w:proofErr w:type="spellEnd"/>
            <w:r w:rsidRPr="007156C2">
              <w:rPr>
                <w:rFonts w:ascii="Times New Roman" w:hAnsi="Times New Roman"/>
                <w:sz w:val="24"/>
                <w:szCs w:val="24"/>
              </w:rPr>
              <w:t>.</w:t>
            </w:r>
          </w:p>
          <w:p w14:paraId="20DC77CD" w14:textId="77777777" w:rsidR="00766B76" w:rsidRPr="007156C2" w:rsidRDefault="00766B76" w:rsidP="00766B76">
            <w:pPr>
              <w:spacing w:after="0" w:line="240" w:lineRule="auto"/>
              <w:ind w:firstLine="720"/>
              <w:jc w:val="both"/>
              <w:rPr>
                <w:rFonts w:ascii="Times New Roman" w:hAnsi="Times New Roman"/>
                <w:sz w:val="24"/>
                <w:szCs w:val="24"/>
              </w:rPr>
            </w:pPr>
          </w:p>
          <w:p w14:paraId="4E7221E6" w14:textId="0E096DDC" w:rsidR="00076230" w:rsidRDefault="00076230" w:rsidP="00766B76">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Grozījumi</w:t>
            </w:r>
            <w:proofErr w:type="spellEnd"/>
            <w:r>
              <w:rPr>
                <w:rFonts w:ascii="Times New Roman" w:hAnsi="Times New Roman"/>
                <w:sz w:val="24"/>
                <w:szCs w:val="24"/>
              </w:rPr>
              <w:t xml:space="preserve"> </w:t>
            </w:r>
            <w:proofErr w:type="spellStart"/>
            <w:r w:rsidRPr="00487DAB">
              <w:rPr>
                <w:rFonts w:ascii="Times New Roman" w:hAnsi="Times New Roman"/>
                <w:sz w:val="24"/>
                <w:szCs w:val="24"/>
              </w:rPr>
              <w:t>Regulas</w:t>
            </w:r>
            <w:proofErr w:type="spellEnd"/>
            <w:r w:rsidRPr="00487DAB">
              <w:rPr>
                <w:rFonts w:ascii="Times New Roman" w:hAnsi="Times New Roman"/>
                <w:sz w:val="24"/>
                <w:szCs w:val="24"/>
              </w:rPr>
              <w:t xml:space="preserve"> Nr.1303/2013</w:t>
            </w:r>
            <w:r w:rsidR="00CD3F6F">
              <w:rPr>
                <w:rFonts w:ascii="Times New Roman" w:hAnsi="Times New Roman"/>
                <w:sz w:val="24"/>
                <w:szCs w:val="24"/>
              </w:rPr>
              <w:t xml:space="preserve"> </w:t>
            </w:r>
            <w:proofErr w:type="gramStart"/>
            <w:r w:rsidR="00CD3F6F">
              <w:rPr>
                <w:rFonts w:ascii="Times New Roman" w:hAnsi="Times New Roman"/>
                <w:sz w:val="24"/>
                <w:szCs w:val="24"/>
              </w:rPr>
              <w:t>71.panta</w:t>
            </w:r>
            <w:proofErr w:type="gramEnd"/>
            <w:r w:rsidRPr="00487DAB">
              <w:rPr>
                <w:rFonts w:ascii="Times New Roman" w:hAnsi="Times New Roman"/>
                <w:sz w:val="24"/>
                <w:szCs w:val="24"/>
              </w:rPr>
              <w:t xml:space="preserve"> </w:t>
            </w:r>
            <w:proofErr w:type="spellStart"/>
            <w:r w:rsidRPr="00487DAB">
              <w:rPr>
                <w:rFonts w:ascii="Times New Roman" w:hAnsi="Times New Roman"/>
                <w:sz w:val="24"/>
                <w:szCs w:val="24"/>
              </w:rPr>
              <w:t>izpratnē</w:t>
            </w:r>
            <w:proofErr w:type="spellEnd"/>
            <w:r w:rsidRPr="00487DAB">
              <w:rPr>
                <w:rFonts w:ascii="Times New Roman" w:hAnsi="Times New Roman"/>
                <w:sz w:val="24"/>
                <w:szCs w:val="24"/>
              </w:rPr>
              <w:t xml:space="preserve"> </w:t>
            </w:r>
            <w:proofErr w:type="spellStart"/>
            <w:r>
              <w:rPr>
                <w:rFonts w:ascii="Times New Roman" w:hAnsi="Times New Roman"/>
                <w:sz w:val="24"/>
                <w:szCs w:val="24"/>
              </w:rPr>
              <w:t>atstās</w:t>
            </w:r>
            <w:proofErr w:type="spellEnd"/>
            <w:r>
              <w:rPr>
                <w:rFonts w:ascii="Times New Roman" w:hAnsi="Times New Roman"/>
                <w:sz w:val="24"/>
                <w:szCs w:val="24"/>
              </w:rPr>
              <w:t xml:space="preserve"> </w:t>
            </w:r>
            <w:proofErr w:type="spellStart"/>
            <w:r>
              <w:rPr>
                <w:rFonts w:ascii="Times New Roman" w:hAnsi="Times New Roman"/>
                <w:sz w:val="24"/>
                <w:szCs w:val="24"/>
              </w:rPr>
              <w:t>pozitīvu</w:t>
            </w:r>
            <w:proofErr w:type="spellEnd"/>
            <w:r>
              <w:rPr>
                <w:rFonts w:ascii="Times New Roman" w:hAnsi="Times New Roman"/>
                <w:sz w:val="24"/>
                <w:szCs w:val="24"/>
              </w:rPr>
              <w:t xml:space="preserve"> </w:t>
            </w:r>
            <w:proofErr w:type="spellStart"/>
            <w:r>
              <w:rPr>
                <w:rFonts w:ascii="Times New Roman" w:hAnsi="Times New Roman"/>
                <w:sz w:val="24"/>
                <w:szCs w:val="24"/>
              </w:rPr>
              <w:t>ietekmi</w:t>
            </w:r>
            <w:proofErr w:type="spellEnd"/>
            <w:r>
              <w:rPr>
                <w:rFonts w:ascii="Times New Roman" w:hAnsi="Times New Roman"/>
                <w:sz w:val="24"/>
                <w:szCs w:val="24"/>
              </w:rPr>
              <w:t xml:space="preserve"> uz </w:t>
            </w:r>
            <w:proofErr w:type="spellStart"/>
            <w:r>
              <w:rPr>
                <w:rFonts w:ascii="Times New Roman" w:hAnsi="Times New Roman"/>
                <w:sz w:val="24"/>
                <w:szCs w:val="24"/>
              </w:rPr>
              <w:t>īstenošanā</w:t>
            </w:r>
            <w:proofErr w:type="spellEnd"/>
            <w:r>
              <w:rPr>
                <w:rFonts w:ascii="Times New Roman" w:hAnsi="Times New Roman"/>
                <w:sz w:val="24"/>
                <w:szCs w:val="24"/>
              </w:rPr>
              <w:t xml:space="preserve"> </w:t>
            </w:r>
            <w:proofErr w:type="spellStart"/>
            <w:r>
              <w:rPr>
                <w:rFonts w:ascii="Times New Roman" w:hAnsi="Times New Roman"/>
                <w:sz w:val="24"/>
                <w:szCs w:val="24"/>
              </w:rPr>
              <w:t>esošajiem</w:t>
            </w:r>
            <w:proofErr w:type="spellEnd"/>
            <w:r>
              <w:rPr>
                <w:rFonts w:ascii="Times New Roman" w:hAnsi="Times New Roman"/>
                <w:sz w:val="24"/>
                <w:szCs w:val="24"/>
              </w:rPr>
              <w:t xml:space="preserve"> </w:t>
            </w:r>
            <w:proofErr w:type="spellStart"/>
            <w:r>
              <w:rPr>
                <w:rFonts w:ascii="Times New Roman" w:hAnsi="Times New Roman"/>
                <w:sz w:val="24"/>
                <w:szCs w:val="24"/>
              </w:rPr>
              <w:t>projektiem</w:t>
            </w:r>
            <w:proofErr w:type="spellEnd"/>
            <w:r>
              <w:rPr>
                <w:rFonts w:ascii="Times New Roman" w:hAnsi="Times New Roman"/>
                <w:sz w:val="24"/>
                <w:szCs w:val="24"/>
              </w:rPr>
              <w:t xml:space="preserve">. </w:t>
            </w:r>
            <w:proofErr w:type="spellStart"/>
            <w:r>
              <w:rPr>
                <w:rFonts w:ascii="Times New Roman" w:hAnsi="Times New Roman"/>
                <w:sz w:val="24"/>
                <w:szCs w:val="24"/>
              </w:rPr>
              <w:t>Piemēram</w:t>
            </w:r>
            <w:proofErr w:type="spellEnd"/>
            <w:r>
              <w:rPr>
                <w:rFonts w:ascii="Times New Roman" w:hAnsi="Times New Roman"/>
                <w:sz w:val="24"/>
                <w:szCs w:val="24"/>
              </w:rPr>
              <w:t xml:space="preserve">, </w:t>
            </w:r>
            <w:proofErr w:type="spellStart"/>
            <w:r>
              <w:rPr>
                <w:rFonts w:ascii="Times New Roman" w:hAnsi="Times New Roman"/>
                <w:sz w:val="24"/>
                <w:szCs w:val="24"/>
              </w:rPr>
              <w:t>iespēju</w:t>
            </w:r>
            <w:proofErr w:type="spellEnd"/>
            <w:r>
              <w:rPr>
                <w:rFonts w:ascii="Times New Roman" w:hAnsi="Times New Roman"/>
                <w:sz w:val="24"/>
                <w:szCs w:val="24"/>
              </w:rPr>
              <w:t xml:space="preserve"> </w:t>
            </w:r>
            <w:proofErr w:type="spellStart"/>
            <w:r>
              <w:rPr>
                <w:rFonts w:ascii="Times New Roman" w:hAnsi="Times New Roman"/>
                <w:sz w:val="24"/>
                <w:szCs w:val="24"/>
              </w:rPr>
              <w:t>pagarināt</w:t>
            </w:r>
            <w:proofErr w:type="spellEnd"/>
            <w:r>
              <w:rPr>
                <w:rFonts w:ascii="Times New Roman" w:hAnsi="Times New Roman"/>
                <w:sz w:val="24"/>
                <w:szCs w:val="24"/>
              </w:rPr>
              <w:t xml:space="preserve"> </w:t>
            </w:r>
            <w:proofErr w:type="spellStart"/>
            <w:r>
              <w:rPr>
                <w:rFonts w:ascii="Times New Roman" w:hAnsi="Times New Roman"/>
                <w:sz w:val="24"/>
                <w:szCs w:val="24"/>
              </w:rPr>
              <w:t>projektu</w:t>
            </w:r>
            <w:proofErr w:type="spellEnd"/>
            <w:r>
              <w:rPr>
                <w:rFonts w:ascii="Times New Roman" w:hAnsi="Times New Roman"/>
                <w:sz w:val="24"/>
                <w:szCs w:val="24"/>
              </w:rPr>
              <w:t xml:space="preserve"> </w:t>
            </w:r>
            <w:proofErr w:type="spellStart"/>
            <w:r>
              <w:rPr>
                <w:rFonts w:ascii="Times New Roman" w:hAnsi="Times New Roman"/>
                <w:sz w:val="24"/>
                <w:szCs w:val="24"/>
              </w:rPr>
              <w:t>īstenošanas</w:t>
            </w:r>
            <w:proofErr w:type="spellEnd"/>
            <w:r>
              <w:rPr>
                <w:rFonts w:ascii="Times New Roman" w:hAnsi="Times New Roman"/>
                <w:sz w:val="24"/>
                <w:szCs w:val="24"/>
              </w:rPr>
              <w:t xml:space="preserve"> </w:t>
            </w:r>
            <w:proofErr w:type="spellStart"/>
            <w:r>
              <w:rPr>
                <w:rFonts w:ascii="Times New Roman" w:hAnsi="Times New Roman"/>
                <w:sz w:val="24"/>
                <w:szCs w:val="24"/>
              </w:rPr>
              <w:t>termiņu</w:t>
            </w:r>
            <w:proofErr w:type="spellEnd"/>
            <w:r>
              <w:rPr>
                <w:rFonts w:ascii="Times New Roman" w:hAnsi="Times New Roman"/>
                <w:sz w:val="24"/>
                <w:szCs w:val="24"/>
              </w:rPr>
              <w:t xml:space="preserve"> un bez </w:t>
            </w:r>
            <w:proofErr w:type="spellStart"/>
            <w:r>
              <w:rPr>
                <w:rFonts w:ascii="Times New Roman" w:hAnsi="Times New Roman"/>
                <w:sz w:val="24"/>
                <w:szCs w:val="24"/>
              </w:rPr>
              <w:t>sankcijām</w:t>
            </w:r>
            <w:proofErr w:type="spellEnd"/>
            <w:r>
              <w:rPr>
                <w:rFonts w:ascii="Times New Roman" w:hAnsi="Times New Roman"/>
                <w:sz w:val="24"/>
                <w:szCs w:val="24"/>
              </w:rPr>
              <w:t xml:space="preserve"> </w:t>
            </w:r>
            <w:proofErr w:type="spellStart"/>
            <w:r>
              <w:rPr>
                <w:rFonts w:ascii="Times New Roman" w:hAnsi="Times New Roman"/>
                <w:sz w:val="24"/>
                <w:szCs w:val="24"/>
              </w:rPr>
              <w:t>pabeigt</w:t>
            </w:r>
            <w:proofErr w:type="spellEnd"/>
            <w:r>
              <w:rPr>
                <w:rFonts w:ascii="Times New Roman" w:hAnsi="Times New Roman"/>
                <w:sz w:val="24"/>
                <w:szCs w:val="24"/>
              </w:rPr>
              <w:t xml:space="preserve"> </w:t>
            </w:r>
            <w:proofErr w:type="spellStart"/>
            <w:r>
              <w:rPr>
                <w:rFonts w:ascii="Times New Roman" w:hAnsi="Times New Roman"/>
                <w:sz w:val="24"/>
                <w:szCs w:val="24"/>
              </w:rPr>
              <w:t>projektus</w:t>
            </w:r>
            <w:proofErr w:type="spellEnd"/>
            <w:r>
              <w:rPr>
                <w:rFonts w:ascii="Times New Roman" w:hAnsi="Times New Roman"/>
                <w:sz w:val="24"/>
                <w:szCs w:val="24"/>
              </w:rPr>
              <w:t>.</w:t>
            </w:r>
          </w:p>
          <w:p w14:paraId="7B64FDB0" w14:textId="77777777" w:rsidR="00076230" w:rsidRDefault="00076230" w:rsidP="00766B76">
            <w:pPr>
              <w:spacing w:after="0" w:line="240" w:lineRule="auto"/>
              <w:ind w:firstLine="720"/>
              <w:jc w:val="both"/>
              <w:rPr>
                <w:rFonts w:ascii="Times New Roman" w:hAnsi="Times New Roman"/>
                <w:sz w:val="24"/>
                <w:szCs w:val="24"/>
              </w:rPr>
            </w:pPr>
          </w:p>
          <w:p w14:paraId="44ECAC6B" w14:textId="0B8B55BD" w:rsidR="00766B76" w:rsidRPr="007156C2" w:rsidRDefault="00766B76" w:rsidP="00766B76">
            <w:pPr>
              <w:spacing w:after="0" w:line="240" w:lineRule="auto"/>
              <w:ind w:firstLine="720"/>
              <w:jc w:val="both"/>
              <w:rPr>
                <w:rFonts w:ascii="Times New Roman" w:hAnsi="Times New Roman"/>
                <w:sz w:val="24"/>
                <w:szCs w:val="24"/>
              </w:rPr>
            </w:pPr>
            <w:proofErr w:type="spellStart"/>
            <w:r w:rsidRPr="007156C2">
              <w:rPr>
                <w:rFonts w:ascii="Times New Roman" w:hAnsi="Times New Roman"/>
                <w:sz w:val="24"/>
                <w:szCs w:val="24"/>
              </w:rPr>
              <w:t>Attiecībā</w:t>
            </w:r>
            <w:proofErr w:type="spellEnd"/>
            <w:r>
              <w:rPr>
                <w:rFonts w:ascii="Times New Roman" w:hAnsi="Times New Roman"/>
                <w:sz w:val="24"/>
                <w:szCs w:val="24"/>
              </w:rPr>
              <w:t xml:space="preserve"> uz </w:t>
            </w:r>
            <w:proofErr w:type="spellStart"/>
            <w:r>
              <w:rPr>
                <w:rFonts w:ascii="Times New Roman" w:hAnsi="Times New Roman"/>
                <w:sz w:val="24"/>
                <w:szCs w:val="24"/>
              </w:rPr>
              <w:t>noteikumos</w:t>
            </w:r>
            <w:proofErr w:type="spellEnd"/>
            <w:r>
              <w:rPr>
                <w:rFonts w:ascii="Times New Roman" w:hAnsi="Times New Roman"/>
                <w:sz w:val="24"/>
                <w:szCs w:val="24"/>
              </w:rPr>
              <w:t xml:space="preserve"> </w:t>
            </w:r>
            <w:proofErr w:type="spellStart"/>
            <w:r>
              <w:rPr>
                <w:rFonts w:ascii="Times New Roman" w:hAnsi="Times New Roman"/>
                <w:sz w:val="24"/>
                <w:szCs w:val="24"/>
              </w:rPr>
              <w:t>noteiktajiem</w:t>
            </w:r>
            <w:proofErr w:type="spellEnd"/>
            <w:r>
              <w:rPr>
                <w:rFonts w:ascii="Times New Roman" w:hAnsi="Times New Roman"/>
                <w:sz w:val="24"/>
                <w:szCs w:val="24"/>
              </w:rPr>
              <w:t xml:space="preserve"> </w:t>
            </w:r>
            <w:proofErr w:type="spellStart"/>
            <w:r w:rsidRPr="007156C2">
              <w:rPr>
                <w:rFonts w:ascii="Times New Roman" w:hAnsi="Times New Roman"/>
                <w:sz w:val="24"/>
                <w:szCs w:val="24"/>
              </w:rPr>
              <w:t>otra</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veida</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finansējuma</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saņēmējiem</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kuriem</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tiek</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sniegts</w:t>
            </w:r>
            <w:proofErr w:type="spellEnd"/>
            <w:r w:rsidRPr="007156C2">
              <w:rPr>
                <w:rFonts w:ascii="Times New Roman" w:hAnsi="Times New Roman"/>
                <w:sz w:val="24"/>
                <w:szCs w:val="24"/>
              </w:rPr>
              <w:t xml:space="preserve"> </w:t>
            </w:r>
            <w:proofErr w:type="spellStart"/>
            <w:r>
              <w:rPr>
                <w:rFonts w:ascii="Times New Roman" w:hAnsi="Times New Roman"/>
                <w:sz w:val="24"/>
                <w:szCs w:val="24"/>
              </w:rPr>
              <w:t>atbalsts</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saskaņā</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ar</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Eiropas</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Komisijas</w:t>
            </w:r>
            <w:proofErr w:type="spellEnd"/>
            <w:r w:rsidRPr="007156C2">
              <w:rPr>
                <w:rFonts w:ascii="Times New Roman" w:hAnsi="Times New Roman"/>
                <w:sz w:val="24"/>
                <w:szCs w:val="24"/>
              </w:rPr>
              <w:t xml:space="preserve"> 2014. </w:t>
            </w:r>
            <w:proofErr w:type="spellStart"/>
            <w:r w:rsidRPr="007156C2">
              <w:rPr>
                <w:rFonts w:ascii="Times New Roman" w:hAnsi="Times New Roman"/>
                <w:sz w:val="24"/>
                <w:szCs w:val="24"/>
              </w:rPr>
              <w:t>gada</w:t>
            </w:r>
            <w:proofErr w:type="spellEnd"/>
            <w:r w:rsidRPr="007156C2">
              <w:rPr>
                <w:rFonts w:ascii="Times New Roman" w:hAnsi="Times New Roman"/>
                <w:sz w:val="24"/>
                <w:szCs w:val="24"/>
              </w:rPr>
              <w:t xml:space="preserve"> 17. </w:t>
            </w:r>
            <w:proofErr w:type="spellStart"/>
            <w:r w:rsidRPr="007156C2">
              <w:rPr>
                <w:rFonts w:ascii="Times New Roman" w:hAnsi="Times New Roman"/>
                <w:sz w:val="24"/>
                <w:szCs w:val="24"/>
              </w:rPr>
              <w:t>jūnija</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Regulas</w:t>
            </w:r>
            <w:proofErr w:type="spellEnd"/>
            <w:r>
              <w:rPr>
                <w:rFonts w:ascii="Times New Roman" w:hAnsi="Times New Roman"/>
                <w:sz w:val="24"/>
                <w:szCs w:val="24"/>
              </w:rPr>
              <w:t xml:space="preserve"> </w:t>
            </w:r>
            <w:r w:rsidRPr="007156C2">
              <w:rPr>
                <w:rFonts w:ascii="Times New Roman" w:hAnsi="Times New Roman"/>
                <w:sz w:val="24"/>
                <w:szCs w:val="24"/>
              </w:rPr>
              <w:t>Nr.651/2014</w:t>
            </w:r>
            <w:r>
              <w:rPr>
                <w:rFonts w:ascii="Times New Roman" w:hAnsi="Times New Roman"/>
                <w:sz w:val="24"/>
                <w:szCs w:val="24"/>
              </w:rPr>
              <w:t xml:space="preserve"> </w:t>
            </w:r>
            <w:r w:rsidRPr="007156C2">
              <w:rPr>
                <w:rFonts w:ascii="Times New Roman" w:hAnsi="Times New Roman"/>
                <w:sz w:val="24"/>
                <w:szCs w:val="24"/>
              </w:rPr>
              <w:t xml:space="preserve">46. </w:t>
            </w:r>
            <w:proofErr w:type="spellStart"/>
            <w:r w:rsidRPr="007156C2">
              <w:rPr>
                <w:rFonts w:ascii="Times New Roman" w:hAnsi="Times New Roman"/>
                <w:sz w:val="24"/>
                <w:szCs w:val="24"/>
              </w:rPr>
              <w:t>pantu</w:t>
            </w:r>
            <w:proofErr w:type="spellEnd"/>
            <w:r>
              <w:rPr>
                <w:rFonts w:ascii="Times New Roman" w:hAnsi="Times New Roman"/>
                <w:sz w:val="24"/>
                <w:szCs w:val="24"/>
              </w:rPr>
              <w:t xml:space="preserve">, </w:t>
            </w:r>
            <w:proofErr w:type="spellStart"/>
            <w:r w:rsidRPr="007156C2">
              <w:rPr>
                <w:rFonts w:ascii="Times New Roman" w:hAnsi="Times New Roman"/>
                <w:sz w:val="24"/>
                <w:szCs w:val="24"/>
              </w:rPr>
              <w:t>nosacījumi</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netiek</w:t>
            </w:r>
            <w:proofErr w:type="spellEnd"/>
            <w:r w:rsidRPr="007156C2">
              <w:rPr>
                <w:rFonts w:ascii="Times New Roman" w:hAnsi="Times New Roman"/>
                <w:sz w:val="24"/>
                <w:szCs w:val="24"/>
              </w:rPr>
              <w:t xml:space="preserve"> </w:t>
            </w:r>
            <w:proofErr w:type="spellStart"/>
            <w:r w:rsidRPr="007156C2">
              <w:rPr>
                <w:rFonts w:ascii="Times New Roman" w:hAnsi="Times New Roman"/>
                <w:sz w:val="24"/>
                <w:szCs w:val="24"/>
              </w:rPr>
              <w:t>mainīti</w:t>
            </w:r>
            <w:proofErr w:type="spellEnd"/>
            <w:r w:rsidRPr="007156C2">
              <w:rPr>
                <w:rFonts w:ascii="Times New Roman" w:hAnsi="Times New Roman"/>
                <w:sz w:val="24"/>
                <w:szCs w:val="24"/>
              </w:rPr>
              <w:t xml:space="preserve">. </w:t>
            </w:r>
          </w:p>
          <w:p w14:paraId="2DEE68A7" w14:textId="77777777" w:rsidR="00766B76" w:rsidRPr="00766B76" w:rsidRDefault="00766B76" w:rsidP="00566A2A">
            <w:pPr>
              <w:jc w:val="both"/>
              <w:rPr>
                <w:rFonts w:ascii="Times New Roman" w:hAnsi="Times New Roman"/>
                <w:sz w:val="24"/>
                <w:szCs w:val="24"/>
              </w:rPr>
            </w:pPr>
          </w:p>
          <w:p w14:paraId="48DC8FC0" w14:textId="77777777" w:rsidR="00C775BC" w:rsidRPr="003B4400" w:rsidRDefault="00C775BC" w:rsidP="00566A2A">
            <w:pPr>
              <w:jc w:val="both"/>
              <w:rPr>
                <w:rFonts w:ascii="Times New Roman" w:hAnsi="Times New Roman"/>
                <w:sz w:val="24"/>
                <w:szCs w:val="24"/>
                <w:lang w:val="lv-LV"/>
              </w:rPr>
            </w:pPr>
          </w:p>
        </w:tc>
      </w:tr>
      <w:tr w:rsidR="00871DBD" w:rsidRPr="003B4400" w14:paraId="6261772F" w14:textId="77777777" w:rsidTr="00AD6BC0">
        <w:tc>
          <w:tcPr>
            <w:tcW w:w="191" w:type="pct"/>
          </w:tcPr>
          <w:p w14:paraId="609333EF"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lastRenderedPageBreak/>
              <w:t>3.</w:t>
            </w:r>
          </w:p>
        </w:tc>
        <w:tc>
          <w:tcPr>
            <w:tcW w:w="1519" w:type="pct"/>
          </w:tcPr>
          <w:p w14:paraId="0A3C423A"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Projekta izstrādē iesaistītās institūcijas un publiskas personas kapitālsabiedrības</w:t>
            </w:r>
          </w:p>
        </w:tc>
        <w:tc>
          <w:tcPr>
            <w:tcW w:w="3289" w:type="pct"/>
          </w:tcPr>
          <w:p w14:paraId="44C55BD9"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Ekonomikas ministrija, CFLA, "</w:t>
            </w:r>
            <w:proofErr w:type="spellStart"/>
            <w:r w:rsidRPr="003B4400">
              <w:rPr>
                <w:rFonts w:ascii="Times New Roman" w:hAnsi="Times New Roman"/>
                <w:iCs/>
                <w:sz w:val="24"/>
                <w:szCs w:val="24"/>
                <w:lang w:val="lv-LV"/>
              </w:rPr>
              <w:t>Altum</w:t>
            </w:r>
            <w:proofErr w:type="spellEnd"/>
            <w:r w:rsidRPr="003B4400">
              <w:rPr>
                <w:rFonts w:ascii="Times New Roman" w:hAnsi="Times New Roman"/>
                <w:sz w:val="24"/>
                <w:szCs w:val="24"/>
                <w:lang w:val="lv-LV" w:eastAsia="lv-LV"/>
              </w:rPr>
              <w:t>".</w:t>
            </w:r>
          </w:p>
        </w:tc>
      </w:tr>
      <w:tr w:rsidR="00871DBD" w:rsidRPr="003B4400" w14:paraId="1A49E3FC" w14:textId="77777777" w:rsidTr="00AD6BC0">
        <w:tc>
          <w:tcPr>
            <w:tcW w:w="191" w:type="pct"/>
          </w:tcPr>
          <w:p w14:paraId="502640BB"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4.</w:t>
            </w:r>
          </w:p>
        </w:tc>
        <w:tc>
          <w:tcPr>
            <w:tcW w:w="1519" w:type="pct"/>
          </w:tcPr>
          <w:p w14:paraId="668E2D08"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Cita informācija</w:t>
            </w:r>
          </w:p>
        </w:tc>
        <w:tc>
          <w:tcPr>
            <w:tcW w:w="3289" w:type="pct"/>
          </w:tcPr>
          <w:p w14:paraId="776289B5"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Nav.</w:t>
            </w:r>
          </w:p>
        </w:tc>
      </w:tr>
    </w:tbl>
    <w:p w14:paraId="1FBBFE82" w14:textId="77777777" w:rsidR="00871DBD" w:rsidRPr="003B4400" w:rsidRDefault="00871DBD" w:rsidP="00566A2A">
      <w:pPr>
        <w:jc w:val="both"/>
        <w:rPr>
          <w:rFonts w:ascii="Times New Roman" w:hAnsi="Times New Roman"/>
          <w:i/>
          <w:sz w:val="24"/>
          <w:szCs w:val="24"/>
        </w:rPr>
      </w:pPr>
    </w:p>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3235"/>
        <w:gridCol w:w="6804"/>
      </w:tblGrid>
      <w:tr w:rsidR="00871DBD" w:rsidRPr="003B4400" w14:paraId="7819DD87" w14:textId="77777777" w:rsidTr="008B28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F9167" w14:textId="66552456" w:rsidR="00871DBD" w:rsidRPr="003B4400" w:rsidRDefault="00871DBD" w:rsidP="0037694C">
            <w:pPr>
              <w:jc w:val="center"/>
              <w:rPr>
                <w:rFonts w:ascii="Times New Roman" w:hAnsi="Times New Roman"/>
                <w:sz w:val="24"/>
                <w:szCs w:val="24"/>
              </w:rPr>
            </w:pPr>
            <w:r w:rsidRPr="003B4400">
              <w:rPr>
                <w:rFonts w:ascii="Times New Roman" w:hAnsi="Times New Roman"/>
                <w:sz w:val="24"/>
                <w:szCs w:val="24"/>
              </w:rPr>
              <w:t xml:space="preserve">II. </w:t>
            </w:r>
            <w:r w:rsidRPr="0037694C">
              <w:rPr>
                <w:rFonts w:ascii="Times New Roman" w:hAnsi="Times New Roman"/>
                <w:b/>
                <w:bCs/>
                <w:sz w:val="24"/>
                <w:szCs w:val="24"/>
              </w:rPr>
              <w:t>Tiesību akta projekta ietekme uz sabiedrību, tautsaimniecības attīstību un administratīvo slogu</w:t>
            </w:r>
          </w:p>
        </w:tc>
      </w:tr>
      <w:tr w:rsidR="00871DBD" w:rsidRPr="003B4400" w14:paraId="2D8548D0" w14:textId="77777777" w:rsidTr="008B28E4">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13547E54"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1.</w:t>
            </w:r>
          </w:p>
        </w:tc>
        <w:tc>
          <w:tcPr>
            <w:tcW w:w="1542" w:type="pct"/>
            <w:tcBorders>
              <w:top w:val="outset" w:sz="6" w:space="0" w:color="414142"/>
              <w:left w:val="outset" w:sz="6" w:space="0" w:color="414142"/>
              <w:bottom w:val="outset" w:sz="6" w:space="0" w:color="414142"/>
              <w:right w:val="outset" w:sz="6" w:space="0" w:color="414142"/>
            </w:tcBorders>
            <w:hideMark/>
          </w:tcPr>
          <w:p w14:paraId="2B7F20C7"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 xml:space="preserve">Sabiedrības </w:t>
            </w:r>
            <w:proofErr w:type="spellStart"/>
            <w:r w:rsidRPr="003B4400">
              <w:rPr>
                <w:rFonts w:ascii="Times New Roman" w:hAnsi="Times New Roman"/>
                <w:sz w:val="24"/>
                <w:szCs w:val="24"/>
              </w:rPr>
              <w:t>mērķgrupas</w:t>
            </w:r>
            <w:proofErr w:type="spellEnd"/>
            <w:r w:rsidRPr="003B4400">
              <w:rPr>
                <w:rFonts w:ascii="Times New Roman" w:hAnsi="Times New Roman"/>
                <w:sz w:val="24"/>
                <w:szCs w:val="24"/>
              </w:rPr>
              <w:t>, kuras tiesiskais regulējums ietekmē vai varētu ietekmēt</w:t>
            </w:r>
          </w:p>
        </w:tc>
        <w:tc>
          <w:tcPr>
            <w:tcW w:w="3243" w:type="pct"/>
            <w:tcBorders>
              <w:top w:val="outset" w:sz="6" w:space="0" w:color="414142"/>
              <w:left w:val="outset" w:sz="6" w:space="0" w:color="414142"/>
              <w:bottom w:val="outset" w:sz="6" w:space="0" w:color="414142"/>
              <w:right w:val="outset" w:sz="6" w:space="0" w:color="414142"/>
            </w:tcBorders>
          </w:tcPr>
          <w:p w14:paraId="471937FA"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 xml:space="preserve">Komersanti, CFLA un </w:t>
            </w:r>
            <w:r w:rsidRPr="003B4400">
              <w:rPr>
                <w:rFonts w:ascii="Times New Roman" w:hAnsi="Times New Roman"/>
                <w:sz w:val="24"/>
                <w:szCs w:val="24"/>
                <w:lang w:eastAsia="lv-LV"/>
              </w:rPr>
              <w:t>"</w:t>
            </w:r>
            <w:proofErr w:type="spellStart"/>
            <w:r w:rsidRPr="003B4400">
              <w:rPr>
                <w:rFonts w:ascii="Times New Roman" w:hAnsi="Times New Roman"/>
                <w:sz w:val="24"/>
                <w:szCs w:val="24"/>
              </w:rPr>
              <w:t>Altum</w:t>
            </w:r>
            <w:proofErr w:type="spellEnd"/>
            <w:r w:rsidRPr="003B4400">
              <w:rPr>
                <w:rFonts w:ascii="Times New Roman" w:hAnsi="Times New Roman"/>
                <w:sz w:val="24"/>
                <w:szCs w:val="24"/>
                <w:lang w:eastAsia="lv-LV"/>
              </w:rPr>
              <w:t>"</w:t>
            </w:r>
            <w:r w:rsidRPr="003B4400">
              <w:rPr>
                <w:rFonts w:ascii="Times New Roman" w:hAnsi="Times New Roman"/>
                <w:sz w:val="24"/>
                <w:szCs w:val="24"/>
              </w:rPr>
              <w:t>.</w:t>
            </w:r>
          </w:p>
        </w:tc>
      </w:tr>
      <w:tr w:rsidR="00871DBD" w:rsidRPr="003B4400" w14:paraId="115AFA86" w14:textId="77777777" w:rsidTr="008B28E4">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6D4728FA"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2.</w:t>
            </w:r>
          </w:p>
        </w:tc>
        <w:tc>
          <w:tcPr>
            <w:tcW w:w="1542" w:type="pct"/>
            <w:tcBorders>
              <w:top w:val="outset" w:sz="6" w:space="0" w:color="414142"/>
              <w:left w:val="outset" w:sz="6" w:space="0" w:color="414142"/>
              <w:bottom w:val="outset" w:sz="6" w:space="0" w:color="414142"/>
              <w:right w:val="outset" w:sz="6" w:space="0" w:color="414142"/>
            </w:tcBorders>
            <w:hideMark/>
          </w:tcPr>
          <w:p w14:paraId="5DFC01B8"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Tiesiskā regulējuma ietekme uz tautsaimniecību un administratīvo slogu</w:t>
            </w:r>
          </w:p>
        </w:tc>
        <w:tc>
          <w:tcPr>
            <w:tcW w:w="3243" w:type="pct"/>
            <w:tcBorders>
              <w:top w:val="outset" w:sz="6" w:space="0" w:color="414142"/>
              <w:left w:val="outset" w:sz="6" w:space="0" w:color="414142"/>
              <w:bottom w:val="outset" w:sz="6" w:space="0" w:color="414142"/>
              <w:right w:val="outset" w:sz="6" w:space="0" w:color="414142"/>
            </w:tcBorders>
          </w:tcPr>
          <w:p w14:paraId="27DAD646" w14:textId="77777777" w:rsidR="00871DBD" w:rsidRPr="003B4400" w:rsidRDefault="00871DBD" w:rsidP="00566A2A">
            <w:pPr>
              <w:jc w:val="both"/>
              <w:rPr>
                <w:rFonts w:ascii="Times New Roman" w:hAnsi="Times New Roman"/>
                <w:sz w:val="24"/>
                <w:szCs w:val="24"/>
              </w:rPr>
            </w:pPr>
            <w:r w:rsidRPr="003B4400">
              <w:rPr>
                <w:rFonts w:ascii="Times New Roman" w:hAnsi="Times New Roman"/>
                <w:iCs/>
                <w:color w:val="000000" w:themeColor="text1"/>
                <w:sz w:val="24"/>
                <w:szCs w:val="24"/>
                <w:lang w:eastAsia="lv-LV"/>
              </w:rPr>
              <w:t>Projekts šo jomu neskar. Noteikumu projekts pozitīvi ietekmēs tautsaimniecību.</w:t>
            </w:r>
          </w:p>
        </w:tc>
      </w:tr>
      <w:tr w:rsidR="00871DBD" w:rsidRPr="003B4400" w14:paraId="7613184C" w14:textId="77777777" w:rsidTr="008B28E4">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6A4997E8"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3.</w:t>
            </w:r>
          </w:p>
        </w:tc>
        <w:tc>
          <w:tcPr>
            <w:tcW w:w="1542" w:type="pct"/>
            <w:tcBorders>
              <w:top w:val="outset" w:sz="6" w:space="0" w:color="414142"/>
              <w:left w:val="outset" w:sz="6" w:space="0" w:color="414142"/>
              <w:bottom w:val="outset" w:sz="6" w:space="0" w:color="414142"/>
              <w:right w:val="outset" w:sz="6" w:space="0" w:color="414142"/>
            </w:tcBorders>
            <w:hideMark/>
          </w:tcPr>
          <w:p w14:paraId="24558616"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Administratīvo izmaksu monetārs novērtējums</w:t>
            </w:r>
          </w:p>
        </w:tc>
        <w:tc>
          <w:tcPr>
            <w:tcW w:w="3243" w:type="pct"/>
            <w:tcBorders>
              <w:top w:val="outset" w:sz="6" w:space="0" w:color="414142"/>
              <w:left w:val="outset" w:sz="6" w:space="0" w:color="414142"/>
              <w:bottom w:val="outset" w:sz="6" w:space="0" w:color="414142"/>
              <w:right w:val="outset" w:sz="6" w:space="0" w:color="414142"/>
            </w:tcBorders>
            <w:hideMark/>
          </w:tcPr>
          <w:p w14:paraId="0005B590" w14:textId="77777777" w:rsidR="00871DBD" w:rsidRPr="003B4400" w:rsidRDefault="00871DBD" w:rsidP="00566A2A">
            <w:pPr>
              <w:jc w:val="both"/>
              <w:rPr>
                <w:rFonts w:ascii="Times New Roman" w:hAnsi="Times New Roman"/>
                <w:sz w:val="24"/>
                <w:szCs w:val="24"/>
              </w:rPr>
            </w:pPr>
            <w:r w:rsidRPr="003B4400">
              <w:rPr>
                <w:rFonts w:ascii="Times New Roman" w:hAnsi="Times New Roman"/>
                <w:iCs/>
                <w:sz w:val="24"/>
                <w:szCs w:val="24"/>
              </w:rPr>
              <w:t>Projekts šo jomu neskar.</w:t>
            </w:r>
          </w:p>
        </w:tc>
      </w:tr>
      <w:tr w:rsidR="00871DBD" w:rsidRPr="003B4400" w14:paraId="29986CC5" w14:textId="77777777" w:rsidTr="008B28E4">
        <w:trPr>
          <w:trHeight w:val="510"/>
        </w:trPr>
        <w:tc>
          <w:tcPr>
            <w:tcW w:w="215" w:type="pct"/>
            <w:tcBorders>
              <w:top w:val="outset" w:sz="6" w:space="0" w:color="414142"/>
              <w:left w:val="outset" w:sz="6" w:space="0" w:color="414142"/>
              <w:bottom w:val="outset" w:sz="6" w:space="0" w:color="414142"/>
              <w:right w:val="outset" w:sz="6" w:space="0" w:color="414142"/>
            </w:tcBorders>
          </w:tcPr>
          <w:p w14:paraId="55980449"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lastRenderedPageBreak/>
              <w:t>4.</w:t>
            </w:r>
          </w:p>
        </w:tc>
        <w:tc>
          <w:tcPr>
            <w:tcW w:w="1542" w:type="pct"/>
            <w:tcBorders>
              <w:top w:val="outset" w:sz="6" w:space="0" w:color="414142"/>
              <w:left w:val="outset" w:sz="6" w:space="0" w:color="414142"/>
              <w:bottom w:val="outset" w:sz="6" w:space="0" w:color="414142"/>
              <w:right w:val="outset" w:sz="6" w:space="0" w:color="414142"/>
            </w:tcBorders>
          </w:tcPr>
          <w:p w14:paraId="43E942B4" w14:textId="77777777" w:rsidR="00871DBD" w:rsidRPr="003B4400" w:rsidRDefault="00871DBD" w:rsidP="00566A2A">
            <w:pPr>
              <w:jc w:val="both"/>
              <w:rPr>
                <w:rFonts w:ascii="Times New Roman" w:hAnsi="Times New Roman"/>
                <w:sz w:val="24"/>
                <w:szCs w:val="24"/>
              </w:rPr>
            </w:pPr>
            <w:r w:rsidRPr="003B4400">
              <w:rPr>
                <w:rFonts w:ascii="Times New Roman" w:hAnsi="Times New Roman"/>
                <w:iCs/>
                <w:color w:val="000000" w:themeColor="text1"/>
                <w:sz w:val="24"/>
                <w:szCs w:val="24"/>
                <w:lang w:eastAsia="lv-LV"/>
              </w:rPr>
              <w:t>Atbilstības izmaksu monetārs novērtējums</w:t>
            </w:r>
          </w:p>
        </w:tc>
        <w:tc>
          <w:tcPr>
            <w:tcW w:w="3243" w:type="pct"/>
            <w:tcBorders>
              <w:top w:val="outset" w:sz="6" w:space="0" w:color="414142"/>
              <w:left w:val="outset" w:sz="6" w:space="0" w:color="414142"/>
              <w:bottom w:val="outset" w:sz="6" w:space="0" w:color="414142"/>
              <w:right w:val="outset" w:sz="6" w:space="0" w:color="414142"/>
            </w:tcBorders>
          </w:tcPr>
          <w:p w14:paraId="66B0D997" w14:textId="77777777" w:rsidR="00871DBD" w:rsidRPr="003B4400" w:rsidRDefault="00871DBD" w:rsidP="00566A2A">
            <w:pPr>
              <w:jc w:val="both"/>
              <w:rPr>
                <w:rFonts w:ascii="Times New Roman" w:hAnsi="Times New Roman"/>
                <w:sz w:val="24"/>
                <w:szCs w:val="24"/>
              </w:rPr>
            </w:pPr>
            <w:r w:rsidRPr="003B4400">
              <w:rPr>
                <w:rFonts w:ascii="Times New Roman" w:hAnsi="Times New Roman"/>
                <w:iCs/>
                <w:color w:val="000000" w:themeColor="text1"/>
                <w:sz w:val="24"/>
                <w:szCs w:val="24"/>
                <w:lang w:eastAsia="lv-LV"/>
              </w:rPr>
              <w:t>Projekts šo jomu neskar.</w:t>
            </w:r>
          </w:p>
        </w:tc>
      </w:tr>
      <w:tr w:rsidR="00871DBD" w:rsidRPr="003B4400" w14:paraId="68C46830" w14:textId="77777777" w:rsidTr="008B28E4">
        <w:trPr>
          <w:trHeight w:val="345"/>
        </w:trPr>
        <w:tc>
          <w:tcPr>
            <w:tcW w:w="215" w:type="pct"/>
            <w:tcBorders>
              <w:top w:val="outset" w:sz="6" w:space="0" w:color="414142"/>
              <w:left w:val="outset" w:sz="6" w:space="0" w:color="414142"/>
              <w:bottom w:val="single" w:sz="4" w:space="0" w:color="auto"/>
              <w:right w:val="outset" w:sz="6" w:space="0" w:color="414142"/>
            </w:tcBorders>
            <w:hideMark/>
          </w:tcPr>
          <w:p w14:paraId="57917F28"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5.</w:t>
            </w:r>
          </w:p>
        </w:tc>
        <w:tc>
          <w:tcPr>
            <w:tcW w:w="1542" w:type="pct"/>
            <w:tcBorders>
              <w:top w:val="outset" w:sz="6" w:space="0" w:color="414142"/>
              <w:left w:val="outset" w:sz="6" w:space="0" w:color="414142"/>
              <w:bottom w:val="single" w:sz="4" w:space="0" w:color="auto"/>
              <w:right w:val="outset" w:sz="6" w:space="0" w:color="414142"/>
            </w:tcBorders>
            <w:hideMark/>
          </w:tcPr>
          <w:p w14:paraId="03C80737"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Cita informācija</w:t>
            </w:r>
          </w:p>
        </w:tc>
        <w:tc>
          <w:tcPr>
            <w:tcW w:w="3243" w:type="pct"/>
            <w:tcBorders>
              <w:top w:val="outset" w:sz="6" w:space="0" w:color="414142"/>
              <w:left w:val="outset" w:sz="6" w:space="0" w:color="414142"/>
              <w:bottom w:val="single" w:sz="4" w:space="0" w:color="auto"/>
              <w:right w:val="outset" w:sz="6" w:space="0" w:color="414142"/>
            </w:tcBorders>
            <w:hideMark/>
          </w:tcPr>
          <w:p w14:paraId="2BC968C0" w14:textId="77777777"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Nav</w:t>
            </w:r>
          </w:p>
        </w:tc>
      </w:tr>
      <w:tr w:rsidR="00871DBD" w:rsidRPr="003B4400" w14:paraId="49C15CED" w14:textId="77777777" w:rsidTr="008B28E4">
        <w:trPr>
          <w:trHeight w:val="345"/>
        </w:trPr>
        <w:tc>
          <w:tcPr>
            <w:tcW w:w="215" w:type="pct"/>
            <w:tcBorders>
              <w:top w:val="single" w:sz="4" w:space="0" w:color="auto"/>
              <w:left w:val="nil"/>
              <w:bottom w:val="nil"/>
              <w:right w:val="nil"/>
            </w:tcBorders>
          </w:tcPr>
          <w:p w14:paraId="51DDDC7E" w14:textId="77777777" w:rsidR="00871DBD" w:rsidRPr="003B4400" w:rsidRDefault="00871DBD" w:rsidP="00566A2A">
            <w:pPr>
              <w:jc w:val="both"/>
              <w:rPr>
                <w:rFonts w:ascii="Times New Roman" w:hAnsi="Times New Roman"/>
                <w:sz w:val="24"/>
                <w:szCs w:val="24"/>
              </w:rPr>
            </w:pPr>
          </w:p>
        </w:tc>
        <w:tc>
          <w:tcPr>
            <w:tcW w:w="1542" w:type="pct"/>
            <w:tcBorders>
              <w:top w:val="single" w:sz="4" w:space="0" w:color="auto"/>
              <w:left w:val="nil"/>
              <w:bottom w:val="nil"/>
              <w:right w:val="nil"/>
            </w:tcBorders>
          </w:tcPr>
          <w:p w14:paraId="4760AC8F" w14:textId="77777777" w:rsidR="00871DBD" w:rsidRPr="003B4400" w:rsidRDefault="00871DBD" w:rsidP="00566A2A">
            <w:pPr>
              <w:jc w:val="both"/>
              <w:rPr>
                <w:rFonts w:ascii="Times New Roman" w:hAnsi="Times New Roman"/>
                <w:sz w:val="24"/>
                <w:szCs w:val="24"/>
              </w:rPr>
            </w:pPr>
          </w:p>
        </w:tc>
        <w:tc>
          <w:tcPr>
            <w:tcW w:w="3243" w:type="pct"/>
            <w:tcBorders>
              <w:top w:val="single" w:sz="4" w:space="0" w:color="auto"/>
              <w:left w:val="nil"/>
              <w:bottom w:val="nil"/>
              <w:right w:val="nil"/>
            </w:tcBorders>
          </w:tcPr>
          <w:p w14:paraId="62C8BB2B" w14:textId="77777777" w:rsidR="00871DBD" w:rsidRPr="003B4400" w:rsidRDefault="00871DBD" w:rsidP="00566A2A">
            <w:pPr>
              <w:jc w:val="both"/>
              <w:rPr>
                <w:rFonts w:ascii="Times New Roman" w:hAnsi="Times New Roman"/>
                <w:sz w:val="24"/>
                <w:szCs w:val="24"/>
              </w:rPr>
            </w:pPr>
          </w:p>
        </w:tc>
      </w:tr>
    </w:tbl>
    <w:tbl>
      <w:tblPr>
        <w:tblpPr w:leftFromText="180" w:rightFromText="180" w:vertAnchor="text" w:tblpX="-748"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871DBD" w:rsidRPr="003B4400" w14:paraId="7944D739" w14:textId="77777777" w:rsidTr="008B28E4">
        <w:tc>
          <w:tcPr>
            <w:tcW w:w="10490" w:type="dxa"/>
            <w:tcBorders>
              <w:top w:val="single" w:sz="4" w:space="0" w:color="auto"/>
              <w:left w:val="single" w:sz="4" w:space="0" w:color="auto"/>
              <w:bottom w:val="single" w:sz="4" w:space="0" w:color="auto"/>
              <w:right w:val="single" w:sz="4" w:space="0" w:color="auto"/>
            </w:tcBorders>
          </w:tcPr>
          <w:p w14:paraId="1A16D70D" w14:textId="77777777" w:rsidR="00871DBD" w:rsidRPr="003B4400" w:rsidRDefault="00871DBD" w:rsidP="0037694C">
            <w:pPr>
              <w:jc w:val="center"/>
              <w:rPr>
                <w:rFonts w:ascii="Times New Roman" w:hAnsi="Times New Roman"/>
                <w:sz w:val="24"/>
                <w:szCs w:val="24"/>
                <w:lang w:eastAsia="ja-JP"/>
              </w:rPr>
            </w:pPr>
            <w:bookmarkStart w:id="8" w:name="_Hlk40709034"/>
            <w:r w:rsidRPr="003B4400">
              <w:rPr>
                <w:rFonts w:ascii="Times New Roman" w:hAnsi="Times New Roman"/>
                <w:sz w:val="24"/>
                <w:szCs w:val="24"/>
                <w:lang w:eastAsia="ja-JP"/>
              </w:rPr>
              <w:t xml:space="preserve">III. </w:t>
            </w:r>
            <w:r w:rsidRPr="0037694C">
              <w:rPr>
                <w:rFonts w:ascii="Times New Roman" w:hAnsi="Times New Roman"/>
                <w:b/>
                <w:bCs/>
                <w:sz w:val="24"/>
                <w:szCs w:val="24"/>
                <w:lang w:eastAsia="ja-JP"/>
              </w:rPr>
              <w:t>Tiesību akta projekta ietekme uz valsts budžetu un pašvaldību budžetiem</w:t>
            </w:r>
          </w:p>
        </w:tc>
      </w:tr>
      <w:tr w:rsidR="00871DBD" w:rsidRPr="003B4400" w14:paraId="185D80C6" w14:textId="77777777" w:rsidTr="008B28E4">
        <w:tc>
          <w:tcPr>
            <w:tcW w:w="10490" w:type="dxa"/>
            <w:tcBorders>
              <w:top w:val="single" w:sz="4" w:space="0" w:color="auto"/>
              <w:left w:val="single" w:sz="4" w:space="0" w:color="auto"/>
              <w:bottom w:val="single" w:sz="4" w:space="0" w:color="auto"/>
              <w:right w:val="single" w:sz="4" w:space="0" w:color="auto"/>
            </w:tcBorders>
          </w:tcPr>
          <w:p w14:paraId="6101AD2D" w14:textId="77777777" w:rsidR="00871DBD" w:rsidRPr="003B4400" w:rsidRDefault="00871DBD" w:rsidP="00566A2A">
            <w:pPr>
              <w:jc w:val="both"/>
              <w:rPr>
                <w:rFonts w:ascii="Times New Roman" w:hAnsi="Times New Roman"/>
                <w:sz w:val="24"/>
                <w:szCs w:val="24"/>
                <w:lang w:eastAsia="ja-JP"/>
              </w:rPr>
            </w:pPr>
            <w:r w:rsidRPr="003B4400">
              <w:rPr>
                <w:rFonts w:ascii="Times New Roman" w:hAnsi="Times New Roman"/>
                <w:sz w:val="24"/>
                <w:szCs w:val="24"/>
                <w:lang w:eastAsia="ja-JP"/>
              </w:rPr>
              <w:t>Projekts šo jomu neskar</w:t>
            </w:r>
          </w:p>
        </w:tc>
      </w:tr>
      <w:bookmarkEnd w:id="8"/>
    </w:tbl>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3"/>
        <w:gridCol w:w="446"/>
        <w:gridCol w:w="3102"/>
        <w:gridCol w:w="6818"/>
      </w:tblGrid>
      <w:tr w:rsidR="00871DBD" w:rsidRPr="003B4400" w14:paraId="3DD703A3" w14:textId="77777777" w:rsidTr="008B28E4">
        <w:trPr>
          <w:gridBefore w:val="1"/>
          <w:wBefore w:w="68" w:type="pct"/>
          <w:trHeight w:val="345"/>
        </w:trPr>
        <w:tc>
          <w:tcPr>
            <w:tcW w:w="212" w:type="pct"/>
            <w:tcBorders>
              <w:top w:val="single" w:sz="4" w:space="0" w:color="auto"/>
              <w:left w:val="nil"/>
              <w:bottom w:val="nil"/>
              <w:right w:val="nil"/>
            </w:tcBorders>
          </w:tcPr>
          <w:p w14:paraId="5621F535" w14:textId="77777777" w:rsidR="00871DBD" w:rsidRPr="003B4400" w:rsidRDefault="00871DBD" w:rsidP="00566A2A">
            <w:pPr>
              <w:jc w:val="both"/>
              <w:rPr>
                <w:rFonts w:ascii="Times New Roman" w:hAnsi="Times New Roman"/>
                <w:sz w:val="24"/>
                <w:szCs w:val="24"/>
              </w:rPr>
            </w:pPr>
          </w:p>
        </w:tc>
        <w:tc>
          <w:tcPr>
            <w:tcW w:w="1476" w:type="pct"/>
            <w:tcBorders>
              <w:top w:val="single" w:sz="4" w:space="0" w:color="auto"/>
              <w:left w:val="nil"/>
              <w:bottom w:val="nil"/>
              <w:right w:val="nil"/>
            </w:tcBorders>
          </w:tcPr>
          <w:p w14:paraId="6FC8E4D1" w14:textId="77777777" w:rsidR="00871DBD" w:rsidRPr="003B4400" w:rsidRDefault="00871DBD" w:rsidP="00566A2A">
            <w:pPr>
              <w:jc w:val="both"/>
              <w:rPr>
                <w:rFonts w:ascii="Times New Roman" w:hAnsi="Times New Roman"/>
                <w:sz w:val="24"/>
                <w:szCs w:val="24"/>
              </w:rPr>
            </w:pPr>
          </w:p>
        </w:tc>
        <w:tc>
          <w:tcPr>
            <w:tcW w:w="3244" w:type="pct"/>
            <w:tcBorders>
              <w:top w:val="single" w:sz="4" w:space="0" w:color="auto"/>
              <w:left w:val="nil"/>
              <w:bottom w:val="nil"/>
              <w:right w:val="nil"/>
            </w:tcBorders>
          </w:tcPr>
          <w:p w14:paraId="08FF1BB7" w14:textId="77777777" w:rsidR="00871DBD" w:rsidRPr="003B4400" w:rsidRDefault="00871DBD" w:rsidP="00566A2A">
            <w:pPr>
              <w:jc w:val="both"/>
              <w:rPr>
                <w:rFonts w:ascii="Times New Roman" w:hAnsi="Times New Roman"/>
                <w:sz w:val="24"/>
                <w:szCs w:val="24"/>
              </w:rPr>
            </w:pPr>
          </w:p>
        </w:tc>
      </w:tr>
      <w:tr w:rsidR="00871DBD" w:rsidRPr="003B4400" w14:paraId="07B63610" w14:textId="77777777" w:rsidTr="008B28E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7CB35AFA" w14:textId="77777777" w:rsidR="00871DBD" w:rsidRPr="003B4400" w:rsidRDefault="00871DBD" w:rsidP="0037694C">
            <w:pPr>
              <w:jc w:val="center"/>
              <w:rPr>
                <w:rFonts w:ascii="Times New Roman" w:hAnsi="Times New Roman"/>
                <w:iCs/>
                <w:sz w:val="24"/>
                <w:szCs w:val="24"/>
                <w:lang w:eastAsia="lv-LV"/>
              </w:rPr>
            </w:pPr>
            <w:r w:rsidRPr="003B4400">
              <w:rPr>
                <w:rFonts w:ascii="Times New Roman" w:hAnsi="Times New Roman"/>
                <w:iCs/>
                <w:sz w:val="24"/>
                <w:szCs w:val="24"/>
                <w:lang w:eastAsia="lv-LV"/>
              </w:rPr>
              <w:t xml:space="preserve">IV. </w:t>
            </w:r>
            <w:r w:rsidRPr="0037694C">
              <w:rPr>
                <w:rFonts w:ascii="Times New Roman" w:hAnsi="Times New Roman"/>
                <w:b/>
                <w:bCs/>
                <w:iCs/>
                <w:sz w:val="24"/>
                <w:szCs w:val="24"/>
                <w:lang w:eastAsia="lv-LV"/>
              </w:rPr>
              <w:t>Tiesību akta projekta ietekme uz spēkā esošo tiesību normu sistēmu</w:t>
            </w:r>
          </w:p>
        </w:tc>
      </w:tr>
      <w:tr w:rsidR="00871DBD" w:rsidRPr="003B4400" w14:paraId="0D7D096F" w14:textId="77777777" w:rsidTr="008B28E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14:paraId="7444C66C" w14:textId="77777777" w:rsidR="00871DBD" w:rsidRPr="003B4400" w:rsidRDefault="00871DBD" w:rsidP="00566A2A">
            <w:pPr>
              <w:jc w:val="both"/>
              <w:rPr>
                <w:rFonts w:ascii="Times New Roman" w:hAnsi="Times New Roman"/>
                <w:iCs/>
                <w:sz w:val="24"/>
                <w:szCs w:val="24"/>
                <w:lang w:eastAsia="lv-LV"/>
              </w:rPr>
            </w:pPr>
            <w:r w:rsidRPr="003B4400">
              <w:rPr>
                <w:rFonts w:ascii="Times New Roman" w:hAnsi="Times New Roman"/>
                <w:iCs/>
                <w:sz w:val="24"/>
                <w:szCs w:val="24"/>
                <w:lang w:eastAsia="lv-LV"/>
              </w:rPr>
              <w:tab/>
            </w:r>
            <w:r w:rsidRPr="003B4400">
              <w:rPr>
                <w:rFonts w:ascii="Times New Roman" w:hAnsi="Times New Roman"/>
                <w:iCs/>
                <w:color w:val="000000" w:themeColor="text1"/>
                <w:sz w:val="24"/>
                <w:szCs w:val="24"/>
                <w:lang w:eastAsia="lv-LV"/>
              </w:rPr>
              <w:t>Projekts šo jomu neskar.</w:t>
            </w:r>
          </w:p>
        </w:tc>
      </w:tr>
    </w:tbl>
    <w:p w14:paraId="10DFA5E4" w14:textId="77777777" w:rsidR="00871DBD" w:rsidRPr="003B4400" w:rsidRDefault="00871DBD" w:rsidP="00566A2A">
      <w:pPr>
        <w:jc w:val="both"/>
        <w:rPr>
          <w:rFonts w:ascii="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91"/>
      </w:tblGrid>
      <w:tr w:rsidR="00871DBD" w:rsidRPr="003B4400" w14:paraId="6B56A8A6" w14:textId="77777777" w:rsidTr="008B28E4">
        <w:trPr>
          <w:trHeight w:val="39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1926D7" w14:textId="6B5FF472" w:rsidR="00871DBD" w:rsidRPr="0037694C" w:rsidRDefault="00871DBD" w:rsidP="0037694C">
            <w:pPr>
              <w:jc w:val="center"/>
              <w:rPr>
                <w:rFonts w:ascii="Times New Roman" w:hAnsi="Times New Roman"/>
                <w:b/>
                <w:bCs/>
                <w:sz w:val="24"/>
                <w:szCs w:val="24"/>
              </w:rPr>
            </w:pPr>
            <w:r w:rsidRPr="003B4400">
              <w:rPr>
                <w:rFonts w:ascii="Times New Roman" w:hAnsi="Times New Roman"/>
                <w:sz w:val="24"/>
                <w:szCs w:val="24"/>
              </w:rPr>
              <w:t xml:space="preserve">V. </w:t>
            </w:r>
            <w:r w:rsidRPr="0037694C">
              <w:rPr>
                <w:rFonts w:ascii="Times New Roman" w:hAnsi="Times New Roman"/>
                <w:b/>
                <w:bCs/>
                <w:sz w:val="24"/>
                <w:szCs w:val="24"/>
              </w:rPr>
              <w:t>Tiesību akta projekta atbilstība Latvijas Republikas starptautiskajām saistībām</w:t>
            </w:r>
          </w:p>
          <w:p w14:paraId="6EEBE900" w14:textId="723768E4" w:rsidR="00560498" w:rsidRPr="003B4400" w:rsidRDefault="00560498" w:rsidP="00566A2A">
            <w:pPr>
              <w:jc w:val="both"/>
              <w:rPr>
                <w:rFonts w:ascii="Times New Roman" w:hAnsi="Times New Roman"/>
                <w:sz w:val="24"/>
                <w:szCs w:val="24"/>
              </w:rPr>
            </w:pPr>
            <w:r>
              <w:rPr>
                <w:rFonts w:ascii="Times New Roman" w:hAnsi="Times New Roman"/>
                <w:bCs/>
                <w:sz w:val="24"/>
                <w:szCs w:val="24"/>
              </w:rPr>
              <w:t xml:space="preserve">Saistības pret Eiropas Savienību:        </w:t>
            </w:r>
            <w:r w:rsidRPr="009D0E4E">
              <w:rPr>
                <w:rFonts w:ascii="Times New Roman" w:hAnsi="Times New Roman"/>
                <w:sz w:val="24"/>
                <w:szCs w:val="24"/>
                <w:shd w:val="clear" w:color="auto" w:fill="FFFFFF"/>
              </w:rPr>
              <w:t>Komisijas Regula (ES) Nr. 651/2014 ( 2014. gada 17. jūnijs ), ar ko noteiktas atbalsta kategorijas atzīst par saderīgām ar iekšējo tirgu, piemērojot Līguma 107. un 108. pantu</w:t>
            </w:r>
            <w:r w:rsidRPr="009D0E4E">
              <w:rPr>
                <w:rFonts w:ascii="Segoe UI" w:hAnsi="Segoe UI" w:cs="Segoe UI"/>
                <w:sz w:val="21"/>
                <w:szCs w:val="21"/>
                <w:shd w:val="clear" w:color="auto" w:fill="FFFFFF"/>
              </w:rPr>
              <w:t> </w:t>
            </w:r>
            <w:r>
              <w:rPr>
                <w:rFonts w:ascii="Segoe UI" w:hAnsi="Segoe UI" w:cs="Segoe UI"/>
                <w:sz w:val="21"/>
                <w:szCs w:val="21"/>
                <w:shd w:val="clear" w:color="auto" w:fill="FFFFFF"/>
              </w:rPr>
              <w:t>.</w:t>
            </w:r>
          </w:p>
        </w:tc>
      </w:tr>
    </w:tbl>
    <w:p w14:paraId="3FCAC8C8" w14:textId="77777777" w:rsidR="00871DBD" w:rsidRPr="003B4400" w:rsidRDefault="00871DBD" w:rsidP="00566A2A">
      <w:pPr>
        <w:jc w:val="both"/>
        <w:rPr>
          <w:rFonts w:ascii="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871DBD" w:rsidRPr="003B4400" w14:paraId="55D0AD4E" w14:textId="77777777" w:rsidTr="008B28E4">
        <w:trPr>
          <w:trHeight w:val="420"/>
        </w:trPr>
        <w:tc>
          <w:tcPr>
            <w:tcW w:w="5000" w:type="pct"/>
            <w:gridSpan w:val="3"/>
            <w:hideMark/>
          </w:tcPr>
          <w:p w14:paraId="61856716" w14:textId="77777777" w:rsidR="00871DBD" w:rsidRPr="003B4400" w:rsidRDefault="00871DBD" w:rsidP="0037694C">
            <w:pPr>
              <w:jc w:val="center"/>
              <w:rPr>
                <w:rFonts w:ascii="Times New Roman" w:hAnsi="Times New Roman"/>
                <w:sz w:val="24"/>
                <w:szCs w:val="24"/>
                <w:lang w:val="lv-LV"/>
              </w:rPr>
            </w:pPr>
            <w:r w:rsidRPr="003B4400">
              <w:rPr>
                <w:rFonts w:ascii="Times New Roman" w:hAnsi="Times New Roman"/>
                <w:sz w:val="24"/>
                <w:szCs w:val="24"/>
                <w:lang w:val="lv-LV"/>
              </w:rPr>
              <w:t xml:space="preserve">VI. </w:t>
            </w:r>
            <w:r w:rsidRPr="0037694C">
              <w:rPr>
                <w:rFonts w:ascii="Times New Roman" w:hAnsi="Times New Roman"/>
                <w:b/>
                <w:bCs/>
                <w:sz w:val="24"/>
                <w:szCs w:val="24"/>
                <w:lang w:val="lv-LV"/>
              </w:rPr>
              <w:t>Sabiedrības līdzdalība un komunikācijas aktivitātes</w:t>
            </w:r>
          </w:p>
        </w:tc>
      </w:tr>
      <w:tr w:rsidR="00871DBD" w:rsidRPr="003B4400" w14:paraId="6DBFEFCF" w14:textId="77777777" w:rsidTr="008B28E4">
        <w:trPr>
          <w:trHeight w:val="540"/>
        </w:trPr>
        <w:tc>
          <w:tcPr>
            <w:tcW w:w="189" w:type="pct"/>
            <w:hideMark/>
          </w:tcPr>
          <w:p w14:paraId="41955BE8"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1.</w:t>
            </w:r>
          </w:p>
        </w:tc>
        <w:tc>
          <w:tcPr>
            <w:tcW w:w="1251" w:type="pct"/>
          </w:tcPr>
          <w:p w14:paraId="19F3B391"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Plānotās sabiedrības līdzdalības un komunikācijas aktivitātes saistībā ar projektu</w:t>
            </w:r>
          </w:p>
        </w:tc>
        <w:tc>
          <w:tcPr>
            <w:tcW w:w="3560" w:type="pct"/>
          </w:tcPr>
          <w:p w14:paraId="353C84D0" w14:textId="77777777" w:rsidR="00871DBD" w:rsidRPr="003B4400" w:rsidRDefault="00871DBD" w:rsidP="00566A2A">
            <w:pPr>
              <w:jc w:val="both"/>
              <w:rPr>
                <w:rFonts w:ascii="Times New Roman" w:hAnsi="Times New Roman"/>
                <w:iCs/>
                <w:sz w:val="24"/>
                <w:szCs w:val="24"/>
                <w:lang w:val="lv-LV"/>
              </w:rPr>
            </w:pPr>
            <w:r w:rsidRPr="003B4400">
              <w:rPr>
                <w:rFonts w:ascii="Times New Roman" w:hAnsi="Times New Roman"/>
                <w:iCs/>
                <w:sz w:val="24"/>
                <w:szCs w:val="24"/>
                <w:lang w:val="lv-LV"/>
              </w:rPr>
              <w:t>Projekts paredz precizējumus, kas labvēlīgi ietekmēs centralizētās siltumapgādes nodrošinātājus, kuriem ir uzticēts sniegt pakalpojumus ar vispārēju tautsaimniecisku nozīmi. Nepieciešama tūlītēja rīcība un risinājuma steidzama ieviešana, lai būtu iespējams rast līdzekļu avotu, no kura segt neatbalstāmās izmaksas un, līdz ar to nodrošināt projektu sekmīgu īstenošanu.</w:t>
            </w:r>
          </w:p>
        </w:tc>
      </w:tr>
      <w:tr w:rsidR="00871DBD" w:rsidRPr="003B4400" w14:paraId="0BEB6136" w14:textId="77777777" w:rsidTr="008B28E4">
        <w:trPr>
          <w:trHeight w:val="330"/>
        </w:trPr>
        <w:tc>
          <w:tcPr>
            <w:tcW w:w="189" w:type="pct"/>
            <w:hideMark/>
          </w:tcPr>
          <w:p w14:paraId="775FC6A4"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2.</w:t>
            </w:r>
          </w:p>
        </w:tc>
        <w:tc>
          <w:tcPr>
            <w:tcW w:w="1251" w:type="pct"/>
          </w:tcPr>
          <w:p w14:paraId="305477E4"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Sabiedrības līdzdalība projekta izstrādē</w:t>
            </w:r>
          </w:p>
        </w:tc>
        <w:tc>
          <w:tcPr>
            <w:tcW w:w="3560" w:type="pct"/>
          </w:tcPr>
          <w:p w14:paraId="3388387A" w14:textId="77777777" w:rsidR="00871DBD" w:rsidRPr="003B4400" w:rsidRDefault="00871DBD" w:rsidP="00566A2A">
            <w:pPr>
              <w:jc w:val="both"/>
              <w:rPr>
                <w:rFonts w:ascii="Times New Roman" w:hAnsi="Times New Roman"/>
                <w:i/>
                <w:sz w:val="24"/>
                <w:szCs w:val="24"/>
                <w:lang w:val="lv-LV"/>
              </w:rPr>
            </w:pPr>
            <w:r w:rsidRPr="003B4400">
              <w:rPr>
                <w:rFonts w:ascii="Times New Roman" w:hAnsi="Times New Roman"/>
                <w:iCs/>
                <w:sz w:val="24"/>
                <w:szCs w:val="24"/>
                <w:lang w:val="lv-LV"/>
              </w:rPr>
              <w:t xml:space="preserve">Noteikumu projekta izstrādē iesaistīta CFLA un </w:t>
            </w:r>
            <w:r w:rsidRPr="003B4400">
              <w:rPr>
                <w:rFonts w:ascii="Times New Roman" w:hAnsi="Times New Roman"/>
                <w:sz w:val="24"/>
                <w:szCs w:val="24"/>
                <w:lang w:val="lv-LV" w:eastAsia="lv-LV"/>
              </w:rPr>
              <w:t>"</w:t>
            </w:r>
            <w:proofErr w:type="spellStart"/>
            <w:r w:rsidRPr="003B4400">
              <w:rPr>
                <w:rFonts w:ascii="Times New Roman" w:hAnsi="Times New Roman"/>
                <w:iCs/>
                <w:sz w:val="24"/>
                <w:szCs w:val="24"/>
                <w:lang w:val="lv-LV"/>
              </w:rPr>
              <w:t>Altum</w:t>
            </w:r>
            <w:proofErr w:type="spellEnd"/>
            <w:r w:rsidRPr="003B4400">
              <w:rPr>
                <w:rFonts w:ascii="Times New Roman" w:hAnsi="Times New Roman"/>
                <w:sz w:val="24"/>
                <w:szCs w:val="24"/>
                <w:lang w:val="lv-LV" w:eastAsia="lv-LV"/>
              </w:rPr>
              <w:t>"</w:t>
            </w:r>
            <w:r w:rsidRPr="003B4400">
              <w:rPr>
                <w:rFonts w:ascii="Times New Roman" w:hAnsi="Times New Roman"/>
                <w:iCs/>
                <w:sz w:val="24"/>
                <w:szCs w:val="24"/>
                <w:lang w:val="lv-LV"/>
              </w:rPr>
              <w:t>.</w:t>
            </w:r>
          </w:p>
        </w:tc>
      </w:tr>
      <w:tr w:rsidR="00871DBD" w:rsidRPr="003B4400" w14:paraId="2C21634C" w14:textId="77777777" w:rsidTr="008B28E4">
        <w:trPr>
          <w:trHeight w:val="465"/>
        </w:trPr>
        <w:tc>
          <w:tcPr>
            <w:tcW w:w="189" w:type="pct"/>
            <w:hideMark/>
          </w:tcPr>
          <w:p w14:paraId="5FFD13A1"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3.</w:t>
            </w:r>
          </w:p>
        </w:tc>
        <w:tc>
          <w:tcPr>
            <w:tcW w:w="1251" w:type="pct"/>
          </w:tcPr>
          <w:p w14:paraId="0AE6FE7A"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Sabiedrības līdzdalības rezultāti</w:t>
            </w:r>
          </w:p>
        </w:tc>
        <w:tc>
          <w:tcPr>
            <w:tcW w:w="3560" w:type="pct"/>
            <w:hideMark/>
          </w:tcPr>
          <w:p w14:paraId="5ABD52E1" w14:textId="77777777" w:rsidR="00871DBD" w:rsidRPr="003B4400" w:rsidRDefault="00871DBD" w:rsidP="00566A2A">
            <w:pPr>
              <w:jc w:val="both"/>
              <w:rPr>
                <w:rFonts w:ascii="Times New Roman" w:eastAsia="SimSun" w:hAnsi="Times New Roman"/>
                <w:kern w:val="1"/>
                <w:sz w:val="24"/>
                <w:szCs w:val="24"/>
                <w:lang w:val="lv-LV" w:eastAsia="zh-CN" w:bidi="hi-IN"/>
              </w:rPr>
            </w:pPr>
            <w:r w:rsidRPr="003B4400">
              <w:rPr>
                <w:rFonts w:ascii="Times New Roman" w:eastAsia="SimSun" w:hAnsi="Times New Roman"/>
                <w:kern w:val="1"/>
                <w:sz w:val="24"/>
                <w:szCs w:val="24"/>
                <w:lang w:val="lv-LV" w:eastAsia="zh-CN" w:bidi="hi-IN"/>
              </w:rPr>
              <w:t>Nav</w:t>
            </w:r>
          </w:p>
        </w:tc>
      </w:tr>
      <w:tr w:rsidR="00871DBD" w:rsidRPr="003B4400" w14:paraId="2B3B5863" w14:textId="77777777" w:rsidTr="008B28E4">
        <w:trPr>
          <w:trHeight w:val="301"/>
        </w:trPr>
        <w:tc>
          <w:tcPr>
            <w:tcW w:w="189" w:type="pct"/>
            <w:hideMark/>
          </w:tcPr>
          <w:p w14:paraId="17EB211F"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4.</w:t>
            </w:r>
          </w:p>
        </w:tc>
        <w:tc>
          <w:tcPr>
            <w:tcW w:w="1251" w:type="pct"/>
          </w:tcPr>
          <w:p w14:paraId="326252D1"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Cita informācija</w:t>
            </w:r>
          </w:p>
        </w:tc>
        <w:tc>
          <w:tcPr>
            <w:tcW w:w="3560" w:type="pct"/>
            <w:hideMark/>
          </w:tcPr>
          <w:p w14:paraId="010FEA61"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Nav</w:t>
            </w:r>
          </w:p>
          <w:p w14:paraId="5A9F4588" w14:textId="77777777" w:rsidR="00871DBD" w:rsidRPr="003B4400" w:rsidRDefault="00871DBD" w:rsidP="00566A2A">
            <w:pPr>
              <w:jc w:val="both"/>
              <w:rPr>
                <w:rFonts w:ascii="Times New Roman" w:hAnsi="Times New Roman"/>
                <w:sz w:val="24"/>
                <w:szCs w:val="24"/>
                <w:lang w:val="lv-LV"/>
              </w:rPr>
            </w:pPr>
          </w:p>
        </w:tc>
      </w:tr>
    </w:tbl>
    <w:p w14:paraId="1EBA9513" w14:textId="77777777" w:rsidR="00871DBD" w:rsidRPr="003B4400" w:rsidRDefault="00871DBD" w:rsidP="00566A2A">
      <w:pPr>
        <w:jc w:val="both"/>
        <w:rPr>
          <w:rFonts w:ascii="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871DBD" w:rsidRPr="003B4400" w14:paraId="4C33FAF3" w14:textId="77777777" w:rsidTr="008B28E4">
        <w:trPr>
          <w:trHeight w:val="375"/>
        </w:trPr>
        <w:tc>
          <w:tcPr>
            <w:tcW w:w="5000" w:type="pct"/>
            <w:gridSpan w:val="3"/>
            <w:hideMark/>
          </w:tcPr>
          <w:p w14:paraId="76F5BBD6" w14:textId="77777777" w:rsidR="00871DBD" w:rsidRPr="0037694C" w:rsidRDefault="00871DBD" w:rsidP="0037694C">
            <w:pPr>
              <w:jc w:val="center"/>
              <w:rPr>
                <w:rFonts w:ascii="Times New Roman" w:hAnsi="Times New Roman"/>
                <w:b/>
                <w:bCs/>
                <w:sz w:val="24"/>
                <w:szCs w:val="24"/>
                <w:lang w:val="lv-LV" w:eastAsia="lv-LV"/>
              </w:rPr>
            </w:pPr>
            <w:r w:rsidRPr="0037694C">
              <w:rPr>
                <w:rFonts w:ascii="Times New Roman" w:hAnsi="Times New Roman"/>
                <w:b/>
                <w:bCs/>
                <w:sz w:val="24"/>
                <w:szCs w:val="24"/>
                <w:lang w:val="lv-LV" w:eastAsia="lv-LV"/>
              </w:rPr>
              <w:t>VII. Tiesību akta projekta izpildes nodrošināšana un tās ietekme uz institūcijām</w:t>
            </w:r>
          </w:p>
        </w:tc>
      </w:tr>
      <w:tr w:rsidR="00871DBD" w:rsidRPr="003B4400" w14:paraId="7B738073" w14:textId="77777777" w:rsidTr="008B28E4">
        <w:trPr>
          <w:trHeight w:val="420"/>
        </w:trPr>
        <w:tc>
          <w:tcPr>
            <w:tcW w:w="222" w:type="pct"/>
            <w:hideMark/>
          </w:tcPr>
          <w:p w14:paraId="012F2003"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1.</w:t>
            </w:r>
          </w:p>
        </w:tc>
        <w:tc>
          <w:tcPr>
            <w:tcW w:w="1940" w:type="pct"/>
            <w:hideMark/>
          </w:tcPr>
          <w:p w14:paraId="07EBBD81"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Projekta izpildē iesaistītās institūcijas</w:t>
            </w:r>
          </w:p>
        </w:tc>
        <w:tc>
          <w:tcPr>
            <w:tcW w:w="2837" w:type="pct"/>
            <w:hideMark/>
          </w:tcPr>
          <w:p w14:paraId="79D1A9FE"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Ekonomikas ministrija, sabiedrība "</w:t>
            </w:r>
            <w:proofErr w:type="spellStart"/>
            <w:r w:rsidRPr="003B4400">
              <w:rPr>
                <w:rFonts w:ascii="Times New Roman" w:hAnsi="Times New Roman"/>
                <w:iCs/>
                <w:sz w:val="24"/>
                <w:szCs w:val="24"/>
                <w:lang w:val="lv-LV"/>
              </w:rPr>
              <w:t>Altum</w:t>
            </w:r>
            <w:proofErr w:type="spellEnd"/>
            <w:r w:rsidRPr="003B4400">
              <w:rPr>
                <w:rFonts w:ascii="Times New Roman" w:hAnsi="Times New Roman"/>
                <w:sz w:val="24"/>
                <w:szCs w:val="24"/>
                <w:lang w:val="lv-LV" w:eastAsia="lv-LV"/>
              </w:rPr>
              <w:t>", CFLA.</w:t>
            </w:r>
          </w:p>
        </w:tc>
      </w:tr>
      <w:tr w:rsidR="00871DBD" w:rsidRPr="003B4400" w14:paraId="399354A2" w14:textId="77777777" w:rsidTr="008B28E4">
        <w:trPr>
          <w:trHeight w:val="450"/>
        </w:trPr>
        <w:tc>
          <w:tcPr>
            <w:tcW w:w="222" w:type="pct"/>
            <w:hideMark/>
          </w:tcPr>
          <w:p w14:paraId="1913B816"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lastRenderedPageBreak/>
              <w:t>2.</w:t>
            </w:r>
          </w:p>
        </w:tc>
        <w:tc>
          <w:tcPr>
            <w:tcW w:w="1940" w:type="pct"/>
            <w:hideMark/>
          </w:tcPr>
          <w:p w14:paraId="2489E4A8"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915D181"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 xml:space="preserve">Noteikumu projekta izpilde tiks nodrošināta </w:t>
            </w:r>
            <w:proofErr w:type="spellStart"/>
            <w:r w:rsidRPr="003B4400">
              <w:rPr>
                <w:rFonts w:ascii="Times New Roman" w:hAnsi="Times New Roman"/>
                <w:sz w:val="24"/>
                <w:szCs w:val="24"/>
                <w:lang w:val="lv-LV"/>
              </w:rPr>
              <w:t>Altum</w:t>
            </w:r>
            <w:proofErr w:type="spellEnd"/>
            <w:r w:rsidRPr="003B4400">
              <w:rPr>
                <w:rFonts w:ascii="Times New Roman" w:hAnsi="Times New Roman"/>
                <w:sz w:val="24"/>
                <w:szCs w:val="24"/>
                <w:lang w:val="lv-LV"/>
              </w:rPr>
              <w:t xml:space="preserve"> un CFLA esošo funkciju ietvaros, nav nepieciešams izveidot jaunas institūcijas, likvidēt esošas institūcijas vai veikt reorganizāciju.</w:t>
            </w:r>
          </w:p>
          <w:p w14:paraId="35131EDA" w14:textId="77777777" w:rsidR="00871DBD" w:rsidRPr="003B4400" w:rsidRDefault="00871DBD" w:rsidP="00566A2A">
            <w:pPr>
              <w:jc w:val="both"/>
              <w:rPr>
                <w:rFonts w:ascii="Times New Roman" w:hAnsi="Times New Roman"/>
                <w:sz w:val="24"/>
                <w:szCs w:val="24"/>
                <w:lang w:val="lv-LV"/>
              </w:rPr>
            </w:pPr>
            <w:r w:rsidRPr="003B4400">
              <w:rPr>
                <w:rFonts w:ascii="Times New Roman" w:hAnsi="Times New Roman"/>
                <w:sz w:val="24"/>
                <w:szCs w:val="24"/>
                <w:lang w:val="lv-LV"/>
              </w:rPr>
              <w:t>Noteikumu projekta izpilde tiks organizēta esošo cilvēkresursu ietvaros.</w:t>
            </w:r>
          </w:p>
        </w:tc>
      </w:tr>
      <w:tr w:rsidR="00871DBD" w:rsidRPr="003B4400" w14:paraId="7183C4B7" w14:textId="77777777" w:rsidTr="008B28E4">
        <w:trPr>
          <w:trHeight w:val="390"/>
        </w:trPr>
        <w:tc>
          <w:tcPr>
            <w:tcW w:w="222" w:type="pct"/>
            <w:hideMark/>
          </w:tcPr>
          <w:p w14:paraId="6422909C"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3.</w:t>
            </w:r>
          </w:p>
        </w:tc>
        <w:tc>
          <w:tcPr>
            <w:tcW w:w="1940" w:type="pct"/>
            <w:hideMark/>
          </w:tcPr>
          <w:p w14:paraId="1D128EA2"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Cita informācija</w:t>
            </w:r>
          </w:p>
        </w:tc>
        <w:tc>
          <w:tcPr>
            <w:tcW w:w="2837" w:type="pct"/>
            <w:hideMark/>
          </w:tcPr>
          <w:p w14:paraId="6BF6AE25" w14:textId="77777777" w:rsidR="00871DBD" w:rsidRPr="003B4400" w:rsidRDefault="00871DBD" w:rsidP="00566A2A">
            <w:pPr>
              <w:jc w:val="both"/>
              <w:rPr>
                <w:rFonts w:ascii="Times New Roman" w:hAnsi="Times New Roman"/>
                <w:sz w:val="24"/>
                <w:szCs w:val="24"/>
                <w:lang w:val="lv-LV" w:eastAsia="lv-LV"/>
              </w:rPr>
            </w:pPr>
            <w:r w:rsidRPr="003B4400">
              <w:rPr>
                <w:rFonts w:ascii="Times New Roman" w:hAnsi="Times New Roman"/>
                <w:sz w:val="24"/>
                <w:szCs w:val="24"/>
                <w:lang w:val="lv-LV" w:eastAsia="lv-LV"/>
              </w:rPr>
              <w:t>Nav.</w:t>
            </w:r>
          </w:p>
        </w:tc>
      </w:tr>
    </w:tbl>
    <w:p w14:paraId="671E834F" w14:textId="77777777" w:rsidR="00871DBD" w:rsidRPr="003B4400" w:rsidRDefault="00871DBD" w:rsidP="00566A2A">
      <w:pPr>
        <w:jc w:val="both"/>
        <w:rPr>
          <w:rFonts w:ascii="Times New Roman" w:hAnsi="Times New Roman"/>
          <w:sz w:val="24"/>
          <w:szCs w:val="24"/>
        </w:rPr>
      </w:pPr>
    </w:p>
    <w:p w14:paraId="4CF7B16D" w14:textId="1B230D5C" w:rsidR="00871DBD" w:rsidRPr="003B4400" w:rsidRDefault="00871DBD" w:rsidP="00566A2A">
      <w:pPr>
        <w:jc w:val="both"/>
        <w:rPr>
          <w:rFonts w:ascii="Times New Roman" w:hAnsi="Times New Roman"/>
          <w:sz w:val="24"/>
          <w:szCs w:val="24"/>
        </w:rPr>
      </w:pPr>
      <w:r w:rsidRPr="003B4400">
        <w:rPr>
          <w:rFonts w:ascii="Times New Roman" w:hAnsi="Times New Roman"/>
          <w:sz w:val="24"/>
          <w:szCs w:val="24"/>
        </w:rPr>
        <w:t xml:space="preserve">Ekonomikas ministrs                                                                                                     </w:t>
      </w:r>
      <w:proofErr w:type="spellStart"/>
      <w:r w:rsidRPr="003B4400">
        <w:rPr>
          <w:rFonts w:ascii="Times New Roman" w:hAnsi="Times New Roman"/>
          <w:sz w:val="24"/>
          <w:szCs w:val="24"/>
        </w:rPr>
        <w:t>J.Vitenbergs</w:t>
      </w:r>
      <w:proofErr w:type="spellEnd"/>
    </w:p>
    <w:p w14:paraId="555E6E20" w14:textId="77777777" w:rsidR="00871DBD" w:rsidRPr="0037694C" w:rsidRDefault="00871DBD" w:rsidP="0037694C">
      <w:pPr>
        <w:pStyle w:val="NoSpacing"/>
        <w:rPr>
          <w:rFonts w:ascii="Times New Roman" w:hAnsi="Times New Roman"/>
          <w:sz w:val="24"/>
          <w:szCs w:val="24"/>
        </w:rPr>
      </w:pPr>
      <w:r w:rsidRPr="0037694C">
        <w:rPr>
          <w:rFonts w:ascii="Times New Roman" w:hAnsi="Times New Roman"/>
          <w:sz w:val="24"/>
          <w:szCs w:val="24"/>
        </w:rPr>
        <w:t>Vīza:</w:t>
      </w:r>
    </w:p>
    <w:p w14:paraId="22B39F10" w14:textId="77777777" w:rsidR="00871DBD" w:rsidRPr="0037694C" w:rsidRDefault="00871DBD" w:rsidP="0037694C">
      <w:pPr>
        <w:pStyle w:val="NoSpacing"/>
        <w:rPr>
          <w:rFonts w:ascii="Times New Roman" w:hAnsi="Times New Roman"/>
          <w:sz w:val="24"/>
          <w:szCs w:val="24"/>
        </w:rPr>
      </w:pPr>
      <w:r w:rsidRPr="0037694C">
        <w:rPr>
          <w:rFonts w:ascii="Times New Roman" w:hAnsi="Times New Roman"/>
          <w:sz w:val="24"/>
          <w:szCs w:val="24"/>
        </w:rPr>
        <w:t>Valsts sekretārs</w:t>
      </w:r>
      <w:r w:rsidRPr="003B4400">
        <w:tab/>
      </w:r>
      <w:r w:rsidRPr="003B4400">
        <w:tab/>
      </w:r>
      <w:r w:rsidRPr="003B4400">
        <w:tab/>
      </w:r>
      <w:r w:rsidRPr="003B4400">
        <w:tab/>
      </w:r>
      <w:r w:rsidRPr="003B4400">
        <w:tab/>
      </w:r>
      <w:r w:rsidRPr="003B4400">
        <w:tab/>
      </w:r>
      <w:r w:rsidRPr="003B4400">
        <w:tab/>
      </w:r>
      <w:r w:rsidRPr="003B4400">
        <w:tab/>
      </w:r>
      <w:r w:rsidRPr="003B4400">
        <w:tab/>
      </w:r>
      <w:r w:rsidRPr="0037694C">
        <w:rPr>
          <w:rFonts w:ascii="Times New Roman" w:hAnsi="Times New Roman"/>
          <w:sz w:val="24"/>
          <w:szCs w:val="24"/>
        </w:rPr>
        <w:t xml:space="preserve">   E. Valantis</w:t>
      </w:r>
    </w:p>
    <w:p w14:paraId="58DCD1AE" w14:textId="77777777" w:rsidR="00871DBD" w:rsidRPr="003B4400" w:rsidRDefault="00871DBD" w:rsidP="00566A2A">
      <w:pPr>
        <w:jc w:val="both"/>
        <w:rPr>
          <w:rFonts w:ascii="Times New Roman" w:hAnsi="Times New Roman"/>
          <w:sz w:val="24"/>
          <w:szCs w:val="24"/>
        </w:rPr>
      </w:pPr>
    </w:p>
    <w:p w14:paraId="58F03868" w14:textId="77777777" w:rsidR="00717115" w:rsidRPr="00717115" w:rsidRDefault="00871DBD" w:rsidP="00717115">
      <w:pPr>
        <w:pStyle w:val="NoSpacing"/>
        <w:rPr>
          <w:rFonts w:ascii="Times New Roman" w:hAnsi="Times New Roman"/>
          <w:sz w:val="20"/>
          <w:szCs w:val="20"/>
        </w:rPr>
      </w:pPr>
      <w:r w:rsidRPr="00717115">
        <w:rPr>
          <w:rFonts w:ascii="Times New Roman" w:hAnsi="Times New Roman"/>
          <w:noProof/>
          <w:sz w:val="20"/>
          <w:szCs w:val="20"/>
        </w:rPr>
        <w:t>Laura.Biezbarde</w:t>
      </w:r>
      <w:r w:rsidRPr="00717115">
        <w:rPr>
          <w:rFonts w:ascii="Times New Roman" w:hAnsi="Times New Roman"/>
          <w:sz w:val="20"/>
          <w:szCs w:val="20"/>
        </w:rPr>
        <w:t xml:space="preserve"> </w:t>
      </w:r>
      <w:r w:rsidRPr="00717115">
        <w:rPr>
          <w:rFonts w:ascii="Times New Roman" w:hAnsi="Times New Roman"/>
          <w:noProof/>
          <w:sz w:val="20"/>
          <w:szCs w:val="20"/>
        </w:rPr>
        <w:t>67013234</w:t>
      </w:r>
    </w:p>
    <w:p w14:paraId="52F6088F" w14:textId="0CFCCA79" w:rsidR="00871DBD" w:rsidRPr="00717115" w:rsidRDefault="00871DBD" w:rsidP="00717115">
      <w:pPr>
        <w:pStyle w:val="NoSpacing"/>
        <w:rPr>
          <w:rFonts w:ascii="Times New Roman" w:hAnsi="Times New Roman"/>
          <w:sz w:val="20"/>
          <w:szCs w:val="20"/>
        </w:rPr>
      </w:pPr>
      <w:r w:rsidRPr="00717115">
        <w:rPr>
          <w:rFonts w:ascii="Times New Roman" w:hAnsi="Times New Roman"/>
          <w:noProof/>
          <w:sz w:val="20"/>
          <w:szCs w:val="20"/>
        </w:rPr>
        <w:t>laura.biezbarde@em.gov.lv</w:t>
      </w:r>
    </w:p>
    <w:p w14:paraId="181E98D2" w14:textId="77777777" w:rsidR="00E22F0C" w:rsidRPr="003B4400" w:rsidRDefault="00203614" w:rsidP="00566A2A">
      <w:pPr>
        <w:jc w:val="both"/>
        <w:rPr>
          <w:rFonts w:ascii="Times New Roman" w:hAnsi="Times New Roman"/>
          <w:sz w:val="24"/>
          <w:szCs w:val="24"/>
        </w:rPr>
      </w:pPr>
    </w:p>
    <w:sectPr w:rsidR="00E22F0C" w:rsidRPr="003B4400" w:rsidSect="00DF12C5">
      <w:headerReference w:type="default" r:id="rId8"/>
      <w:footerReference w:type="default" r:id="rId9"/>
      <w:footerReference w:type="first" r:id="rId1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58D1" w14:textId="77777777" w:rsidR="006C27C4" w:rsidRDefault="006C27C4">
      <w:pPr>
        <w:spacing w:after="0" w:line="240" w:lineRule="auto"/>
      </w:pPr>
      <w:r>
        <w:separator/>
      </w:r>
    </w:p>
  </w:endnote>
  <w:endnote w:type="continuationSeparator" w:id="0">
    <w:p w14:paraId="56722830" w14:textId="77777777" w:rsidR="006C27C4" w:rsidRDefault="006C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ED8A" w14:textId="06920A4D" w:rsidR="00C27698" w:rsidRDefault="00C05BB7">
    <w:pPr>
      <w:pStyle w:val="Footer"/>
    </w:pPr>
    <w:r>
      <w:t>EMAnot_</w:t>
    </w:r>
    <w:r w:rsidR="0037694C">
      <w:t>MK495_</w:t>
    </w:r>
    <w:r w:rsidR="000C77D1">
      <w:t>190421</w:t>
    </w:r>
  </w:p>
  <w:p w14:paraId="60EA9DC0" w14:textId="77777777" w:rsidR="00332F06" w:rsidRDefault="002036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FC15" w14:textId="77777777" w:rsidR="00DD2EE1" w:rsidRDefault="00203614">
    <w:pPr>
      <w:pStyle w:val="Footer"/>
      <w:jc w:val="center"/>
    </w:pPr>
  </w:p>
  <w:p w14:paraId="53EE6FBE" w14:textId="375BA649" w:rsidR="00F26BB4" w:rsidRPr="006E2BC5" w:rsidRDefault="0037694C" w:rsidP="006E2BC5">
    <w:pPr>
      <w:pStyle w:val="Footer"/>
      <w:rPr>
        <w:rFonts w:ascii="Times New Roman" w:hAnsi="Times New Roman"/>
      </w:rPr>
    </w:pPr>
    <w:proofErr w:type="spellStart"/>
    <w:r>
      <w:rPr>
        <w:rFonts w:ascii="Times New Roman" w:hAnsi="Times New Roman"/>
      </w:rPr>
      <w:t>EMAnot_MK</w:t>
    </w:r>
    <w:proofErr w:type="spellEnd"/>
    <w:r>
      <w:rPr>
        <w:rFonts w:ascii="Times New Roman" w:hAnsi="Times New Roman"/>
      </w:rPr>
      <w:t xml:space="preserve"> 495_</w:t>
    </w:r>
    <w:r w:rsidR="000C77D1">
      <w:rPr>
        <w:rFonts w:ascii="Times New Roman" w:hAnsi="Times New Roman"/>
      </w:rPr>
      <w:t>190421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160C" w14:textId="77777777" w:rsidR="006C27C4" w:rsidRDefault="006C27C4">
      <w:pPr>
        <w:spacing w:after="0" w:line="240" w:lineRule="auto"/>
      </w:pPr>
      <w:r>
        <w:separator/>
      </w:r>
    </w:p>
  </w:footnote>
  <w:footnote w:type="continuationSeparator" w:id="0">
    <w:p w14:paraId="7CDFA8B7" w14:textId="77777777" w:rsidR="006C27C4" w:rsidRDefault="006C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DD6C" w14:textId="77777777" w:rsidR="00F26BB4" w:rsidRDefault="00203614" w:rsidP="00F4546D">
    <w:pPr>
      <w:pStyle w:val="Header"/>
      <w:spacing w:after="0"/>
      <w:jc w:val="center"/>
      <w:rPr>
        <w:rFonts w:ascii="Times New Roman" w:hAnsi="Times New Roman"/>
        <w:sz w:val="24"/>
        <w:szCs w:val="24"/>
      </w:rPr>
    </w:pPr>
  </w:p>
  <w:p w14:paraId="40294C14" w14:textId="77777777" w:rsidR="00F26BB4" w:rsidRPr="00F4546D" w:rsidRDefault="00203614"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61987"/>
    <w:multiLevelType w:val="hybridMultilevel"/>
    <w:tmpl w:val="55B2F8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F854C8"/>
    <w:multiLevelType w:val="hybridMultilevel"/>
    <w:tmpl w:val="989AB02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7DC550A3"/>
    <w:multiLevelType w:val="hybridMultilevel"/>
    <w:tmpl w:val="153ABA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BD"/>
    <w:rsid w:val="00005FB6"/>
    <w:rsid w:val="0001013C"/>
    <w:rsid w:val="000255AB"/>
    <w:rsid w:val="00076230"/>
    <w:rsid w:val="000941E1"/>
    <w:rsid w:val="000A7E53"/>
    <w:rsid w:val="000B397E"/>
    <w:rsid w:val="000B5358"/>
    <w:rsid w:val="000B652E"/>
    <w:rsid w:val="000C77D1"/>
    <w:rsid w:val="00106E1D"/>
    <w:rsid w:val="00172DB8"/>
    <w:rsid w:val="001978EF"/>
    <w:rsid w:val="00203614"/>
    <w:rsid w:val="0022203D"/>
    <w:rsid w:val="002369CB"/>
    <w:rsid w:val="00242F1C"/>
    <w:rsid w:val="002570E3"/>
    <w:rsid w:val="002625FC"/>
    <w:rsid w:val="00262FD9"/>
    <w:rsid w:val="00293AAF"/>
    <w:rsid w:val="002D2020"/>
    <w:rsid w:val="002E3309"/>
    <w:rsid w:val="00355D47"/>
    <w:rsid w:val="00373CCD"/>
    <w:rsid w:val="0037694C"/>
    <w:rsid w:val="003B4400"/>
    <w:rsid w:val="005113C8"/>
    <w:rsid w:val="005564AC"/>
    <w:rsid w:val="00560498"/>
    <w:rsid w:val="00566A2A"/>
    <w:rsid w:val="005852C8"/>
    <w:rsid w:val="00591A47"/>
    <w:rsid w:val="0059259F"/>
    <w:rsid w:val="00632E9D"/>
    <w:rsid w:val="00691E15"/>
    <w:rsid w:val="006B1029"/>
    <w:rsid w:val="006C27C4"/>
    <w:rsid w:val="00717115"/>
    <w:rsid w:val="00766B76"/>
    <w:rsid w:val="007D6AF2"/>
    <w:rsid w:val="007F02E1"/>
    <w:rsid w:val="00815CBB"/>
    <w:rsid w:val="008518B7"/>
    <w:rsid w:val="00871DBD"/>
    <w:rsid w:val="008E0DBA"/>
    <w:rsid w:val="009C6F59"/>
    <w:rsid w:val="00A0525A"/>
    <w:rsid w:val="00A15613"/>
    <w:rsid w:val="00A15812"/>
    <w:rsid w:val="00A948AE"/>
    <w:rsid w:val="00AD6BC0"/>
    <w:rsid w:val="00B77D53"/>
    <w:rsid w:val="00BF3C14"/>
    <w:rsid w:val="00C02F20"/>
    <w:rsid w:val="00C05BB7"/>
    <w:rsid w:val="00C322BC"/>
    <w:rsid w:val="00C775BC"/>
    <w:rsid w:val="00CD3F6F"/>
    <w:rsid w:val="00CD53B5"/>
    <w:rsid w:val="00D03418"/>
    <w:rsid w:val="00D400C4"/>
    <w:rsid w:val="00DF0B6F"/>
    <w:rsid w:val="00E03956"/>
    <w:rsid w:val="00E300D0"/>
    <w:rsid w:val="00ED295B"/>
    <w:rsid w:val="00F47D9D"/>
    <w:rsid w:val="00F8024A"/>
    <w:rsid w:val="00FA50C8"/>
    <w:rsid w:val="00FE2453"/>
    <w:rsid w:val="00FF6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B90E"/>
  <w15:chartTrackingRefBased/>
  <w15:docId w15:val="{07CED9C0-93C0-4963-B8B3-C0C55F2A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BD"/>
    <w:pPr>
      <w:tabs>
        <w:tab w:val="center" w:pos="4153"/>
        <w:tab w:val="right" w:pos="8306"/>
      </w:tabs>
    </w:pPr>
  </w:style>
  <w:style w:type="character" w:customStyle="1" w:styleId="HeaderChar">
    <w:name w:val="Header Char"/>
    <w:basedOn w:val="DefaultParagraphFont"/>
    <w:link w:val="Header"/>
    <w:uiPriority w:val="99"/>
    <w:rsid w:val="00871DBD"/>
    <w:rPr>
      <w:rFonts w:ascii="Calibri" w:eastAsia="Calibri" w:hAnsi="Calibri" w:cs="Times New Roman"/>
    </w:rPr>
  </w:style>
  <w:style w:type="paragraph" w:styleId="Footer">
    <w:name w:val="footer"/>
    <w:basedOn w:val="Normal"/>
    <w:link w:val="FooterChar"/>
    <w:uiPriority w:val="99"/>
    <w:unhideWhenUsed/>
    <w:rsid w:val="00871DBD"/>
    <w:pPr>
      <w:tabs>
        <w:tab w:val="center" w:pos="4153"/>
        <w:tab w:val="right" w:pos="8306"/>
      </w:tabs>
    </w:pPr>
  </w:style>
  <w:style w:type="character" w:customStyle="1" w:styleId="FooterChar">
    <w:name w:val="Footer Char"/>
    <w:basedOn w:val="DefaultParagraphFont"/>
    <w:link w:val="Footer"/>
    <w:uiPriority w:val="99"/>
    <w:rsid w:val="00871DBD"/>
    <w:rPr>
      <w:rFonts w:ascii="Calibri" w:eastAsia="Calibri" w:hAnsi="Calibri" w:cs="Times New Roman"/>
    </w:rPr>
  </w:style>
  <w:style w:type="character" w:styleId="CommentReference">
    <w:name w:val="annotation reference"/>
    <w:basedOn w:val="DefaultParagraphFont"/>
    <w:uiPriority w:val="99"/>
    <w:semiHidden/>
    <w:unhideWhenUsed/>
    <w:rsid w:val="00871DBD"/>
    <w:rPr>
      <w:sz w:val="16"/>
      <w:szCs w:val="16"/>
    </w:rPr>
  </w:style>
  <w:style w:type="paragraph" w:styleId="CommentText">
    <w:name w:val="annotation text"/>
    <w:basedOn w:val="Normal"/>
    <w:link w:val="CommentTextChar"/>
    <w:uiPriority w:val="99"/>
    <w:unhideWhenUsed/>
    <w:rsid w:val="00871DBD"/>
    <w:pPr>
      <w:spacing w:line="240" w:lineRule="auto"/>
    </w:pPr>
    <w:rPr>
      <w:sz w:val="20"/>
      <w:szCs w:val="20"/>
    </w:rPr>
  </w:style>
  <w:style w:type="character" w:customStyle="1" w:styleId="CommentTextChar">
    <w:name w:val="Comment Text Char"/>
    <w:basedOn w:val="DefaultParagraphFont"/>
    <w:link w:val="CommentText"/>
    <w:uiPriority w:val="99"/>
    <w:rsid w:val="00871DBD"/>
    <w:rPr>
      <w:rFonts w:ascii="Calibri" w:eastAsia="Calibri" w:hAnsi="Calibri" w:cs="Times New Roman"/>
      <w:sz w:val="20"/>
      <w:szCs w:val="20"/>
    </w:rPr>
  </w:style>
  <w:style w:type="table" w:styleId="TableGrid">
    <w:name w:val="Table Grid"/>
    <w:basedOn w:val="TableNormal"/>
    <w:uiPriority w:val="39"/>
    <w:rsid w:val="00871DB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871DBD"/>
    <w:pPr>
      <w:ind w:left="720"/>
      <w:contextualSpacing/>
    </w:pPr>
  </w:style>
  <w:style w:type="paragraph" w:styleId="NoSpacing">
    <w:name w:val="No Spacing"/>
    <w:uiPriority w:val="1"/>
    <w:qFormat/>
    <w:rsid w:val="00871DBD"/>
    <w:pPr>
      <w:spacing w:after="0" w:line="240" w:lineRule="auto"/>
    </w:pPr>
    <w:rPr>
      <w:rFonts w:ascii="Calibri" w:eastAsia="Calibri" w:hAnsi="Calibri" w:cs="Times New Roman"/>
    </w:rPr>
  </w:style>
  <w:style w:type="paragraph" w:customStyle="1" w:styleId="naisnod">
    <w:name w:val="naisnod"/>
    <w:basedOn w:val="Normal"/>
    <w:uiPriority w:val="99"/>
    <w:rsid w:val="00871DBD"/>
    <w:pPr>
      <w:spacing w:before="150" w:after="150" w:line="240" w:lineRule="auto"/>
      <w:jc w:val="center"/>
    </w:pPr>
    <w:rPr>
      <w:rFonts w:ascii="Times New Roman" w:eastAsia="Times New Roman" w:hAnsi="Times New Roman"/>
      <w:b/>
      <w:bCs/>
      <w:sz w:val="24"/>
      <w:szCs w:val="24"/>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871DBD"/>
    <w:rPr>
      <w:rFonts w:ascii="Calibri" w:eastAsia="Calibri" w:hAnsi="Calibri" w:cs="Times New Roman"/>
    </w:rPr>
  </w:style>
  <w:style w:type="paragraph" w:styleId="BalloonText">
    <w:name w:val="Balloon Text"/>
    <w:basedOn w:val="Normal"/>
    <w:link w:val="BalloonTextChar"/>
    <w:uiPriority w:val="99"/>
    <w:semiHidden/>
    <w:unhideWhenUsed/>
    <w:rsid w:val="00871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BD"/>
    <w:rPr>
      <w:rFonts w:ascii="Segoe UI" w:eastAsia="Calibri" w:hAnsi="Segoe UI" w:cs="Segoe UI"/>
      <w:sz w:val="18"/>
      <w:szCs w:val="18"/>
    </w:rPr>
  </w:style>
  <w:style w:type="paragraph" w:styleId="FootnoteText">
    <w:name w:val="footnote text"/>
    <w:basedOn w:val="Normal"/>
    <w:link w:val="FootnoteTextChar"/>
    <w:semiHidden/>
    <w:rsid w:val="00ED295B"/>
    <w:pPr>
      <w:spacing w:after="0" w:line="240" w:lineRule="auto"/>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D295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ED295B"/>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ED295B"/>
    <w:pPr>
      <w:spacing w:after="160" w:line="240" w:lineRule="exact"/>
      <w:jc w:val="both"/>
      <w:textAlignment w:val="baseline"/>
    </w:pPr>
    <w:rPr>
      <w:rFonts w:ascii="Times New Roman" w:eastAsiaTheme="minorHAnsi" w:hAnsi="Times New Roman"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8DA7-67DD-467C-8518-6BBB6935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10483</Words>
  <Characters>5976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Gatis Silovs</cp:lastModifiedBy>
  <cp:revision>27</cp:revision>
  <dcterms:created xsi:type="dcterms:W3CDTF">2021-03-12T06:47:00Z</dcterms:created>
  <dcterms:modified xsi:type="dcterms:W3CDTF">2021-04-21T16:36:00Z</dcterms:modified>
</cp:coreProperties>
</file>